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df" ContentType="application/pdf"/>
  <Override PartName="/word/media/rId48.pdf" ContentType="application/pdf"/>
  <Override PartName="/word/media/rId54.pdf" ContentType="application/pdf"/>
  <Override PartName="/word/media/rId5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r>
        <w:t xml:space="preserve"> </w:t>
      </w:r>
      <w:r>
        <w:t xml:space="preserve">cultivars</w:t>
      </w:r>
    </w:p>
    <w:p>
      <w:pPr>
        <w:pStyle w:val="FirstParagraph"/>
      </w:pPr>
      <w:r>
        <w:rPr>
          <w:bCs/>
          <w:b/>
        </w:rPr>
        <w:t xml:space="preserve">Iqra Akram</w:t>
      </w:r>
      <w:r>
        <w:rPr>
          <w:vertAlign w:val="superscript"/>
        </w:rPr>
        <w:t xml:space="preserve">1</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1,2,3*</w:t>
      </w:r>
    </w:p>
    <w:p>
      <w:pPr>
        <w:pStyle w:val="BodyText"/>
      </w:pPr>
      <w:r>
        <w:rPr>
          <w:vertAlign w:val="superscript"/>
        </w:rPr>
        <w:t xml:space="preserve">1</w:t>
      </w:r>
      <w:r>
        <w:t xml:space="preserve">Graduate School of Environmental Science, Hokkaido University, N10W5 Kita-ku,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Faculty of Environmental Earth Science, Hokkaido University, N10W5 Kita-ku,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 While such spatial heterogeneity has often been treated as a nuisance in crop breeding trials, underlying biotic factors and loci remain largely unknown. To quantify disease spatial variation and associate it with neighbor genotypes, we applied two methods, Spatial Analysis of Field Trials with Splines (SpATS) and Neighbor Genome-Wide Association Study (Neighbor GWAS), to barley cultivars. Having compiled the CIMMYT Australia ICARDA Germplasm Evaluation (CAIGE) data, we first applied SpATS to damages by three diseases such as the net form net blotch, spot form net blotch, and scald. This SpATS analysis showed extraneous phenotypic variation unexplained by spatial autocorrelation, thereby leading us to conduct further variance component analysis and GWAS. We then applied the Neighbor GWAS model and found that 10-30% variation of the three disease phenotypes was explained by neighbor genotypic identity. The Neighbor GWAS method also detected two significant variants that were located on the barley 7H chromosome and associated with neighbor genotypic influence on the net form net blotch and scald. These significant variants were estimated to have positive effects of their allelic mixtures on the disease damage. Our findings suggest that neighbor genotype identity can be a key to account for spatial variation and reduce pest damage by variety mixtures in field crops.</w:t>
      </w:r>
    </w:p>
    <w:p>
      <w:pPr>
        <w:pStyle w:val="BodyText"/>
      </w:pPr>
      <w:r>
        <w:t xml:space="preserve">Keywords: Field crop, Genome-wide association study, Genotype-genotype interaction, Pest resistance</w:t>
      </w:r>
    </w:p>
    <w:p>
      <w:pPr>
        <w:pStyle w:val="BodyText"/>
      </w:pPr>
      <w:r>
        <w:t xml:space="preserve">To do:</w:t>
      </w:r>
    </w:p>
    <w:p>
      <w:pPr>
        <w:numPr>
          <w:ilvl w:val="0"/>
          <w:numId w:val="1001"/>
        </w:numPr>
        <w:pStyle w:val="Compact"/>
      </w:pPr>
      <w:r>
        <w:t xml:space="preserve">Word consistency check: variance components for the two mixed models</w:t>
      </w:r>
    </w:p>
    <w:bookmarkEnd w:id="21"/>
    <w:bookmarkStart w:id="22" w:name="introduction"/>
    <w:p>
      <w:pPr>
        <w:pStyle w:val="Heading1"/>
      </w:pPr>
      <w:r>
        <w:t xml:space="preserve">Introduction</w:t>
      </w:r>
    </w:p>
    <w:p>
      <w:pPr>
        <w:pStyle w:val="FirstParagraph"/>
      </w:pPr>
      <w:r>
        <w:t xml:space="preserve">Natural and field-grown plants exhibit considerable spatial variation in their phenotypes, which are shaped by abiotic and biotic factors. Pest damage, such as pathogen infection</w:t>
      </w:r>
      <w:r>
        <w:t xml:space="preserve"> </w:t>
      </w:r>
      <w:r>
        <w:t xml:space="preserve">(Rieux</w:t>
      </w:r>
      <w:r>
        <w:t xml:space="preserve"> </w:t>
      </w:r>
      <w:r>
        <w:rPr>
          <w:iCs/>
          <w:i/>
        </w:rPr>
        <w:t xml:space="preserve">et al.</w:t>
      </w:r>
      <w:r>
        <w:t xml:space="preserve"> </w:t>
      </w:r>
      <w:r>
        <w:t xml:space="preserve">2014; Van Der Heyden</w:t>
      </w:r>
      <w:r>
        <w:t xml:space="preserve"> </w:t>
      </w:r>
      <w:r>
        <w:rPr>
          <w:iCs/>
          <w:i/>
        </w:rPr>
        <w:t xml:space="preserve">et al.</w:t>
      </w:r>
      <w:r>
        <w:t xml:space="preserve"> </w:t>
      </w:r>
      <w:r>
        <w:t xml:space="preserve">2021)</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conspecific individual plants in the field. While spatial heterogeneity has been considered a nuisance in crop breeding trials</w:t>
      </w:r>
      <w:r>
        <w:t xml:space="preserve"> </w:t>
      </w:r>
      <w:r>
        <w:t xml:space="preserve">(Rodríguez-Álvarez</w:t>
      </w:r>
      <w:r>
        <w:t xml:space="preserve"> </w:t>
      </w:r>
      <w:r>
        <w:rPr>
          <w:iCs/>
          <w:i/>
        </w:rPr>
        <w:t xml:space="preserve">et al.</w:t>
      </w:r>
      <w:r>
        <w:t xml:space="preserve"> </w:t>
      </w:r>
      <w:r>
        <w:t xml:space="preserve">2018)</w:t>
      </w:r>
      <w:r>
        <w:t xml:space="preserve">, extraneous spatial variation is sometimes shaped by biotic interactions. For example, neighboring genotypes are one of the biotic factors that can shape spatial heterogeneity of pest damage</w:t>
      </w:r>
      <w:r>
        <w:t xml:space="preserve"> </w:t>
      </w:r>
      <w:r>
        <w:t xml:space="preserve">(Costa e Silva</w:t>
      </w:r>
      <w:r>
        <w:t xml:space="preserve"> </w:t>
      </w:r>
      <w:r>
        <w:rPr>
          <w:iCs/>
          <w:i/>
        </w:rPr>
        <w:t xml:space="preserve">et al.</w:t>
      </w:r>
      <w:r>
        <w:t xml:space="preserve"> </w:t>
      </w:r>
      <w:r>
        <w:t xml:space="preserve">2017; Dahlin</w:t>
      </w:r>
      <w:r>
        <w:t xml:space="preserve"> </w:t>
      </w:r>
      <w:r>
        <w:rPr>
          <w:iCs/>
          <w:i/>
        </w:rPr>
        <w:t xml:space="preserve">et al.</w:t>
      </w:r>
      <w:r>
        <w:t xml:space="preserve"> </w:t>
      </w:r>
      <w:r>
        <w:t xml:space="preserve">2018; Tamura</w:t>
      </w:r>
      <w:r>
        <w:t xml:space="preserve"> </w:t>
      </w:r>
      <w:r>
        <w:rPr>
          <w:iCs/>
          <w:i/>
        </w:rPr>
        <w:t xml:space="preserve">et al.</w:t>
      </w:r>
      <w:r>
        <w:t xml:space="preserve"> </w:t>
      </w:r>
      <w:r>
        <w:t xml:space="preserve">2020; Pélissier</w:t>
      </w:r>
      <w:r>
        <w:t xml:space="preserve"> </w:t>
      </w:r>
      <w:r>
        <w:rPr>
          <w:iCs/>
          <w:i/>
        </w:rPr>
        <w:t xml:space="preserve">et al.</w:t>
      </w:r>
      <w:r>
        <w:t xml:space="preserve"> </w:t>
      </w:r>
      <w:r>
        <w:t xml:space="preserve">2023)</w:t>
      </w:r>
      <w:r>
        <w:t xml:space="preserve">. In a close proximity, plant-plant interactions are driven by volatile communications among genotypes, allowing a variety mixture to be resistant to pests</w:t>
      </w:r>
      <w:r>
        <w:t xml:space="preserve"> </w:t>
      </w:r>
      <w:r>
        <w:t xml:space="preserve">(Dahlin</w:t>
      </w:r>
      <w:r>
        <w:t xml:space="preserve"> </w:t>
      </w:r>
      <w:r>
        <w:rPr>
          <w:iCs/>
          <w:i/>
        </w:rPr>
        <w:t xml:space="preserve">et al.</w:t>
      </w:r>
      <w:r>
        <w:t xml:space="preserve"> </w:t>
      </w:r>
      <w:r>
        <w:t xml:space="preserve">2018)</w:t>
      </w:r>
      <w:r>
        <w:t xml:space="preserve">. Even when direct plant-plant communications are absent, resistant genotypes protect susceptible neighbors from pest migration</w:t>
      </w:r>
      <w:r>
        <w:t xml:space="preserve"> </w:t>
      </w:r>
      <w:r>
        <w:t xml:space="preserve">(Tamura</w:t>
      </w:r>
      <w:r>
        <w:t xml:space="preserve"> </w:t>
      </w:r>
      <w:r>
        <w:rPr>
          <w:iCs/>
          <w:i/>
        </w:rPr>
        <w:t xml:space="preserve">et al.</w:t>
      </w:r>
      <w:r>
        <w:t xml:space="preserve"> </w:t>
      </w:r>
      <w:r>
        <w:t xml:space="preserve">2020)</w:t>
      </w:r>
      <w:r>
        <w:t xml:space="preserve">, or susceptible genotypes contrarily spread pests to resistant genotypes</w:t>
      </w:r>
      <w:r>
        <w:t xml:space="preserve"> </w:t>
      </w:r>
      <w:r>
        <w:rPr>
          <w:iCs/>
          <w:i/>
        </w:rPr>
        <w:t xml:space="preserve">vice versa</w:t>
      </w:r>
      <w:r>
        <w:t xml:space="preserve"> </w:t>
      </w:r>
      <w:r>
        <w:t xml:space="preserve">(Utsumi</w:t>
      </w:r>
      <w:r>
        <w:t xml:space="preserve"> </w:t>
      </w:r>
      <w:r>
        <w:rPr>
          <w:iCs/>
          <w:i/>
        </w:rPr>
        <w:t xml:space="preserve">et al.</w:t>
      </w:r>
      <w:r>
        <w:t xml:space="preserve"> </w:t>
      </w:r>
      <w:r>
        <w:t xml:space="preserve">2011)</w:t>
      </w:r>
      <w:r>
        <w:t xml:space="preserve">. Because of this line of biological relevance, the genetics of conspecific neighbor effects offer a way of pest control by variety mixtures</w:t>
      </w:r>
      <w:r>
        <w:t xml:space="preserve"> </w:t>
      </w:r>
      <w:r>
        <w:t xml:space="preserve">(Mundt 2002; Dahlin</w:t>
      </w:r>
      <w:r>
        <w:t xml:space="preserve"> </w:t>
      </w:r>
      <w:r>
        <w:rPr>
          <w:iCs/>
          <w:i/>
        </w:rPr>
        <w:t xml:space="preserve">et al.</w:t>
      </w:r>
      <w:r>
        <w:t xml:space="preserve"> </w:t>
      </w:r>
      <w:r>
        <w:t xml:space="preserve">2018; Montazeaud</w:t>
      </w:r>
      <w:r>
        <w:t xml:space="preserve"> </w:t>
      </w:r>
      <w:r>
        <w:rPr>
          <w:iCs/>
          <w:i/>
        </w:rPr>
        <w:t xml:space="preserve">et al.</w:t>
      </w:r>
      <w:r>
        <w:t xml:space="preserve"> </w:t>
      </w:r>
      <w:r>
        <w:t xml:space="preserve">2022; Sato and Wuest 2024)</w:t>
      </w:r>
      <w:r>
        <w:t xml:space="preserve">.</w:t>
      </w:r>
    </w:p>
    <w:p>
      <w:pPr>
        <w:pStyle w:val="BodyText"/>
      </w:pPr>
      <w:r>
        <w:t xml:space="preserve">Barley (</w:t>
      </w:r>
      <w:r>
        <w:rPr>
          <w:iCs/>
          <w:i/>
        </w:rPr>
        <w:t xml:space="preserve">Hordeum vulgare</w:t>
      </w:r>
      <w:r>
        <w:t xml:space="preserve">) is an important cereal crop and is infected by various fungal pathogens worldwide. For example,</w:t>
      </w:r>
      <w:r>
        <w:t xml:space="preserve"> </w:t>
      </w:r>
      <w:r>
        <w:rPr>
          <w:iCs/>
          <w:i/>
        </w:rPr>
        <w:t xml:space="preserve">Pyrenophora teres</w:t>
      </w:r>
      <w:r>
        <w:t xml:space="preserve"> </w:t>
      </w:r>
      <w:r>
        <w:t xml:space="preserve">is a causal agent of net blotch symptoms in barley</w:t>
      </w:r>
      <w:r>
        <w:t xml:space="preserve"> </w:t>
      </w:r>
      <w:r>
        <w:t xml:space="preserve">(Liu</w:t>
      </w:r>
      <w:r>
        <w:t xml:space="preserve"> </w:t>
      </w:r>
      <w:r>
        <w:rPr>
          <w:iCs/>
          <w:i/>
        </w:rPr>
        <w:t xml:space="preserve">et al.</w:t>
      </w:r>
      <w:r>
        <w:t xml:space="preserve"> </w:t>
      </w:r>
      <w:r>
        <w:t xml:space="preserve">2011)</w:t>
      </w:r>
      <w:r>
        <w:t xml:space="preserve">, in which</w:t>
      </w:r>
      <w:r>
        <w:t xml:space="preserve"> </w:t>
      </w:r>
      <w:r>
        <w:rPr>
          <w:iCs/>
          <w:i/>
        </w:rPr>
        <w:t xml:space="preserve">P. teres</w:t>
      </w:r>
      <w:r>
        <w:t xml:space="preserve"> </w:t>
      </w:r>
      <w:r>
        <w:t xml:space="preserve">f. </w:t>
      </w:r>
      <w:r>
        <w:rPr>
          <w:iCs/>
          <w:i/>
        </w:rPr>
        <w:t xml:space="preserve">teres</w:t>
      </w:r>
      <w:r>
        <w:t xml:space="preserve"> </w:t>
      </w:r>
      <w:r>
        <w:t xml:space="preserve">and</w:t>
      </w:r>
      <w:r>
        <w:t xml:space="preserve"> </w:t>
      </w:r>
      <w:r>
        <w:rPr>
          <w:iCs/>
          <w:i/>
        </w:rPr>
        <w:t xml:space="preserve">P. teres</w:t>
      </w:r>
      <w:r>
        <w:t xml:space="preserve"> </w:t>
      </w:r>
      <w:r>
        <w:t xml:space="preserve">f. </w:t>
      </w:r>
      <w:r>
        <w:rPr>
          <w:iCs/>
          <w:i/>
        </w:rPr>
        <w:t xml:space="preserve">maculata</w:t>
      </w:r>
      <w:r>
        <w:t xml:space="preserve"> </w:t>
      </w:r>
      <w:r>
        <w:t xml:space="preserve">induce different symptoms, net and spot form net blotch, respectively. In addition to</w:t>
      </w:r>
      <w:r>
        <w:t xml:space="preserve"> </w:t>
      </w:r>
      <w:r>
        <w:rPr>
          <w:iCs/>
          <w:i/>
        </w:rPr>
        <w:t xml:space="preserve">P. teres</w:t>
      </w:r>
      <w:r>
        <w:t xml:space="preserve">,</w:t>
      </w:r>
      <w:r>
        <w:t xml:space="preserve"> </w:t>
      </w:r>
      <w:r>
        <w:rPr>
          <w:iCs/>
          <w:i/>
        </w:rPr>
        <w:t xml:space="preserve">Rhynchosporium secalis</w:t>
      </w:r>
      <w:r>
        <w:t xml:space="preserve"> </w:t>
      </w:r>
      <w:r>
        <w:t xml:space="preserve">is known as a causal agent of barley scald also known as</w:t>
      </w:r>
      <w:r>
        <w:t xml:space="preserve"> </w:t>
      </w:r>
      <w:r>
        <w:t xml:space="preserve">‘</w:t>
      </w:r>
      <w:r>
        <w:t xml:space="preserve">leaf blotch</w:t>
      </w:r>
      <w:r>
        <w:t xml:space="preserve">’</w:t>
      </w:r>
      <w:r>
        <w:t xml:space="preserve"> </w:t>
      </w:r>
      <w:r>
        <w:t xml:space="preserve">(Abang</w:t>
      </w:r>
      <w:r>
        <w:t xml:space="preserve"> </w:t>
      </w:r>
      <w:r>
        <w:rPr>
          <w:iCs/>
          <w:i/>
        </w:rPr>
        <w:t xml:space="preserve">et al.</w:t>
      </w:r>
      <w:r>
        <w:t xml:space="preserve"> </w:t>
      </w:r>
      <w:r>
        <w:t xml:space="preserve">2006; Zhan</w:t>
      </w:r>
      <w:r>
        <w:t xml:space="preserve"> </w:t>
      </w:r>
      <w:r>
        <w:rPr>
          <w:iCs/>
          <w:i/>
        </w:rPr>
        <w:t xml:space="preserve">et al.</w:t>
      </w:r>
      <w:r>
        <w:t xml:space="preserve"> </w:t>
      </w:r>
      <w:r>
        <w:t xml:space="preserve">2008)</w:t>
      </w:r>
      <w:r>
        <w:t xml:space="preserve">. These fungi immediately develop spores on primary host plants under moderate climates, splash conidia by wind, and can trigger secondary infection to another plant during the barley growing season</w:t>
      </w:r>
      <w:r>
        <w:t xml:space="preserve"> </w:t>
      </w:r>
      <w:r>
        <w:t xml:space="preserve">(Zhan</w:t>
      </w:r>
      <w:r>
        <w:t xml:space="preserve"> </w:t>
      </w:r>
      <w:r>
        <w:rPr>
          <w:iCs/>
          <w:i/>
        </w:rPr>
        <w:t xml:space="preserve">et al.</w:t>
      </w:r>
      <w:r>
        <w:t xml:space="preserve"> </w:t>
      </w:r>
      <w:r>
        <w:t xml:space="preserve">2008; Liu</w:t>
      </w:r>
      <w:r>
        <w:t xml:space="preserve"> </w:t>
      </w:r>
      <w:r>
        <w:rPr>
          <w:iCs/>
          <w:i/>
        </w:rPr>
        <w:t xml:space="preserve">et al.</w:t>
      </w:r>
      <w:r>
        <w:t xml:space="preserve"> </w:t>
      </w:r>
      <w:r>
        <w:t xml:space="preserve">2011)</w:t>
      </w:r>
      <w:r>
        <w:t xml:space="preserve">. To date, quantitative trait locus (QTL) mapping and genome-wide association studies (GWAS) have identified multiple loci associated with barley resistance to net blotch and scald</w:t>
      </w:r>
      <w:r>
        <w:t xml:space="preserve"> </w:t>
      </w:r>
      <w:r>
        <w:t xml:space="preserve">(Tamang</w:t>
      </w:r>
      <w:r>
        <w:t xml:space="preserve"> </w:t>
      </w:r>
      <w:r>
        <w:rPr>
          <w:iCs/>
          <w:i/>
        </w:rPr>
        <w:t xml:space="preserve">et al.</w:t>
      </w:r>
      <w:r>
        <w:t xml:space="preserve"> </w:t>
      </w:r>
      <w:r>
        <w:t xml:space="preserve">2015; Richards</w:t>
      </w:r>
      <w:r>
        <w:t xml:space="preserve"> </w:t>
      </w:r>
      <w:r>
        <w:rPr>
          <w:iCs/>
          <w:i/>
        </w:rPr>
        <w:t xml:space="preserve">et al.</w:t>
      </w:r>
      <w:r>
        <w:t xml:space="preserve"> </w:t>
      </w:r>
      <w:r>
        <w:t xml:space="preserve">2017; Novakazi</w:t>
      </w:r>
      <w:r>
        <w:t xml:space="preserve"> </w:t>
      </w:r>
      <w:r>
        <w:rPr>
          <w:iCs/>
          <w:i/>
        </w:rPr>
        <w:t xml:space="preserve">et al.</w:t>
      </w:r>
      <w:r>
        <w:t xml:space="preserve"> </w:t>
      </w:r>
      <w:r>
        <w:t xml:space="preserve">2019)</w:t>
      </w:r>
      <w:r>
        <w:t xml:space="preserve">. Little is known, however, about the influence of neighboring genotypes and their associated variants.</w:t>
      </w:r>
    </w:p>
    <w:p>
      <w:pPr>
        <w:pStyle w:val="BodyText"/>
      </w:pPr>
      <w:r>
        <w:t xml:space="preserve">To analyze the influence of neighboring genotypes on individual traits, we have recently developed a new method of genome-wide association study (GWAS), called</w:t>
      </w:r>
      <w:r>
        <w:t xml:space="preserve"> </w:t>
      </w:r>
      <w:r>
        <w:t xml:space="preserve">“</w:t>
      </w:r>
      <w:r>
        <w:t xml:space="preserve">Neighbor GWAS</w:t>
      </w:r>
      <w:r>
        <w:t xml:space="preserve">”</w:t>
      </w:r>
      <w:r>
        <w:t xml:space="preserve"> </w:t>
      </w:r>
      <w:r>
        <w:t xml:space="preserve">(Sato</w:t>
      </w:r>
      <w:r>
        <w:t xml:space="preserve"> </w:t>
      </w:r>
      <w:r>
        <w:rPr>
          <w:iCs/>
          <w:i/>
        </w:rPr>
        <w:t xml:space="preserve">et al.</w:t>
      </w:r>
      <w:r>
        <w:t xml:space="preserve"> </w:t>
      </w:r>
      <w:r>
        <w:t xml:space="preserve">2021b)</w:t>
      </w:r>
      <w:r>
        <w:t xml:space="preserve">. Inspired by the Ising model of magnetics, the Neighbor GWAS method expands a standard mixed model to incorporate locus-wise interactions among neighboring genotypes. Owing to its locus-wise modeling, the Neighbor GWAS method can be applied to any randomized cultivation of multiple varieties. As such a randomized spatial arrangement has often been adopted in GWAS experiments</w:t>
      </w:r>
      <w:r>
        <w:t xml:space="preserve"> </w:t>
      </w:r>
      <w:r>
        <w:t xml:space="preserve">(e.g., Cui</w:t>
      </w:r>
      <w:r>
        <w:t xml:space="preserve"> </w:t>
      </w:r>
      <w:r>
        <w:rPr>
          <w:iCs/>
          <w:i/>
        </w:rPr>
        <w:t xml:space="preserve">et al.</w:t>
      </w:r>
      <w:r>
        <w:t xml:space="preserve"> </w:t>
      </w:r>
      <w:r>
        <w:t xml:space="preserve">2016; Sato</w:t>
      </w:r>
      <w:r>
        <w:t xml:space="preserve"> </w:t>
      </w:r>
      <w:r>
        <w:rPr>
          <w:iCs/>
          <w:i/>
        </w:rPr>
        <w:t xml:space="preserve">et al.</w:t>
      </w:r>
      <w:r>
        <w:t xml:space="preserve"> </w:t>
      </w:r>
      <w:r>
        <w:t xml:space="preserve">2024; Behera</w:t>
      </w:r>
      <w:r>
        <w:t xml:space="preserve"> </w:t>
      </w:r>
      <w:r>
        <w:rPr>
          <w:iCs/>
          <w:i/>
        </w:rPr>
        <w:t xml:space="preserve">et al.</w:t>
      </w:r>
      <w:r>
        <w:t xml:space="preserve"> </w:t>
      </w:r>
      <w:r>
        <w:t xml:space="preserve">2024)</w:t>
      </w:r>
      <w:r>
        <w:t xml:space="preserve">, the Neighbor GWAS method possesses wide applicability to any plant GWASs. For instance, our previous study demonstrated the power of Neighbor GWAS to predict key genotype pairs that mitigated insect herbivory in</w:t>
      </w:r>
      <w:r>
        <w:t xml:space="preserve"> </w:t>
      </w:r>
      <w:r>
        <w:rPr>
          <w:iCs/>
          <w:i/>
        </w:rPr>
        <w:t xml:space="preserve">Arabidopsis thaliana</w:t>
      </w:r>
      <w:r>
        <w:t xml:space="preserve">. Although this workflow may also be applied to agricultural data, the Neighbor GWAS method has not been applied to crop data.</w:t>
      </w:r>
    </w:p>
    <w:p>
      <w:pPr>
        <w:pStyle w:val="BodyText"/>
      </w:pPr>
      <w:r>
        <w:t xml:space="preserve">In this study, we investigated spatial heterogeneity of disease infection, such as net blotch and scaled, in barley. Specifically, we aimed to address the following questions: (i) Was there extraneous spatial variation in disease infection? (ii) To what extent was the spatial variation explained by neighboring genotypic identity? (iii) Were there any significant QTLs responsible for the neighbor genotypic effects on disease infection? To address these questions, we applied two methods, SpATS and Neighbor GWAS, for publicly available data deposited by the CIMMYT Australia ICARDA Germplasm Evaluation (CAIGE) project.</w:t>
      </w:r>
    </w:p>
    <w:bookmarkEnd w:id="22"/>
    <w:bookmarkStart w:id="32"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BEAGLE3</w:t>
      </w:r>
      <w:r>
        <w:t xml:space="preserve"> </w:t>
      </w:r>
      <w:r>
        <w:t xml:space="preserve">(Ayres</w:t>
      </w:r>
      <w:r>
        <w:t xml:space="preserve"> </w:t>
      </w:r>
      <w:r>
        <w:rPr>
          <w:iCs/>
          <w:i/>
        </w:rPr>
        <w:t xml:space="preserve">et al.</w:t>
      </w:r>
      <w:r>
        <w:t xml:space="preserve"> </w:t>
      </w:r>
      <w:r>
        <w:t xml:space="preserve">2019)</w:t>
      </w:r>
      <w:r>
        <w:t xml:space="preserve"> </w:t>
      </w:r>
      <w:r>
        <w:t xml:space="preserve">after the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is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We combined the three-year datasets in which end-point damage levels (score variables) were considered a representative phenotype for each disease.</w:t>
      </w:r>
      <w:r>
        <w:t xml:space="preserve"> </w:t>
      </w:r>
      <w:r>
        <w:t xml:space="preserve">Each phenotype includes approximately 25,000 SNP markers and 500 individuals with 480 genotypes.</w:t>
      </w:r>
      <w:r>
        <w:t xml:space="preserve"> </w:t>
      </w:r>
      <w:r>
        <w:t xml:space="preserve">Details on sample sizes are summarized in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We used the Spatial Analysis of Field Trials with Splines (SpATS)</w:t>
      </w:r>
      <w:r>
        <w:t xml:space="preserve"> </w:t>
      </w:r>
      <w:r>
        <w:t xml:space="preserve">(Rodríguez-Álvarez</w:t>
      </w:r>
      <w:r>
        <w:t xml:space="preserve"> </w:t>
      </w:r>
      <w:r>
        <w:rPr>
          <w:iCs/>
          <w:i/>
        </w:rPr>
        <w:t xml:space="preserve">et al.</w:t>
      </w:r>
      <w:r>
        <w:t xml:space="preserve"> </w:t>
      </w:r>
      <w:r>
        <w:t xml:space="preserve">2018)</w:t>
      </w:r>
      <w:r>
        <w:t xml:space="preserve"> </w:t>
      </w:r>
      <w:r>
        <w:t xml:space="preserve">to quantify normal and extraneous spatial heterogeneity of plant damage by the net form net blotch, spot form net blotch, and scald.</w:t>
      </w:r>
      <w:r>
        <w:t xml:space="preserve"> </w:t>
      </w:r>
      <w:r>
        <w:t xml:space="preserve">The SpATS method employs a spline method to estimate spatial trends across two-dimensional space along rows and ranges according to their spatial proximity</w:t>
      </w:r>
      <w:r>
        <w:t xml:space="preserve"> </w:t>
      </w:r>
      <w:r>
        <w:t xml:space="preserve">(Rodríguez-Álvarez</w:t>
      </w:r>
      <w:r>
        <w:t xml:space="preserve"> </w:t>
      </w:r>
      <w:r>
        <w:rPr>
          <w:iCs/>
          <w:i/>
        </w:rPr>
        <w:t xml:space="preserve">et al.</w:t>
      </w:r>
      <w:r>
        <w:t xml:space="preserve"> </w:t>
      </w:r>
      <w:r>
        <w:t xml:space="preserve">2018)</w:t>
      </w:r>
      <w:r>
        <w:t xml:space="preserve">.</w:t>
      </w:r>
      <w:r>
        <w:t xml:space="preserve"> </w:t>
      </w:r>
      <w:r>
        <w:t xml:space="preserve">By modeling spatial trends, SpATS can also estimate the amount of phenotypic variation owing to genotypes and the spatial trends</w:t>
      </w:r>
      <w:r>
        <w:t xml:space="preserve"> </w:t>
      </w:r>
      <w:r>
        <w:t xml:space="preserve">(Rodríguez-Álvarez</w:t>
      </w:r>
      <w:r>
        <w:t xml:space="preserve"> </w:t>
      </w:r>
      <w:r>
        <w:rPr>
          <w:iCs/>
          <w:i/>
        </w:rPr>
        <w:t xml:space="preserve">et al.</w:t>
      </w:r>
      <w:r>
        <w:t xml:space="preserve"> </w:t>
      </w:r>
      <w:r>
        <w:t xml:space="preserve">2015)</w:t>
      </w:r>
      <w:r>
        <w:t xml:space="preserve">, allowing us to quantify broad-sense heritability attributable to plants’ own genotypic effects.</w:t>
      </w:r>
      <w:r>
        <w:t xml:space="preserve"> </w:t>
      </w:r>
      <w:r>
        <w:t xml:space="preserve">Extraneous spatial heterogeneity can also be visualized by calculating row and column displacements for unexplained residuals</w:t>
      </w:r>
      <w:r>
        <w:t xml:space="preserve"> </w:t>
      </w:r>
      <w:r>
        <w:t xml:space="preserve">(Gilmour</w:t>
      </w:r>
      <w:r>
        <w:t xml:space="preserve"> </w:t>
      </w:r>
      <w:r>
        <w:rPr>
          <w:iCs/>
          <w:i/>
        </w:rPr>
        <w:t xml:space="preserve">et al.</w:t>
      </w:r>
      <w:r>
        <w:t xml:space="preserve"> </w:t>
      </w:r>
      <w:r>
        <w:t xml:space="preserve">1997)</w:t>
      </w:r>
      <w:r>
        <w:t xml:space="preserve">.</w:t>
      </w:r>
    </w:p>
    <w:p>
      <w:pPr>
        <w:pStyle w:val="BodyText"/>
      </w:pPr>
      <w:r>
        <w:t xml:space="preserve">To apply the SpATS method to barley data, we utilized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4.3.0</w:t>
      </w:r>
      <w:r>
        <w:t xml:space="preserve"> </w:t>
      </w:r>
      <w:r>
        <w:t xml:space="preserve">(R Core Team 2023)</w:t>
      </w:r>
      <w:r>
        <w:t xml:space="preserve">, with the following arguments specified in the SpATS and other optional functions.</w:t>
      </w:r>
      <w:r>
        <w:t xml:space="preserve"> </w:t>
      </w:r>
      <w:r>
        <w:t xml:space="preserve">Damage levels (score variable) for the net form net blotch, spot form net blotch, and scald were separately analyzed as a response variable.</w:t>
      </w:r>
      <w:r>
        <w:t xml:space="preserve"> </w:t>
      </w:r>
      <w:r>
        <w:t xml:space="preserve">The study years and experimental blocks of field trials were considered non-genetic covariates and included as fixed effects.</w:t>
      </w:r>
      <w:r>
        <w:t xml:space="preserve"> </w:t>
      </w:r>
      <w:r>
        <w:t xml:space="preserve">Genotypes (i.e., the name of cultivars) and spatial positions (i.e., row and range) were considered random effects: the former was specified as</w:t>
      </w:r>
      <w:r>
        <w:t xml:space="preserve"> </w:t>
      </w:r>
      <w:r>
        <w:t xml:space="preserve">“</w:t>
      </w:r>
      <w:r>
        <w:t xml:space="preserve">genotype.as.random = TRUE</w:t>
      </w:r>
      <w:r>
        <w:t xml:space="preserve">”</w:t>
      </w:r>
      <w:r>
        <w:t xml:space="preserve"> </w:t>
      </w:r>
      <w:r>
        <w:t xml:space="preserve">and the latter was specified as</w:t>
      </w:r>
      <w:r>
        <w:t xml:space="preserve"> </w:t>
      </w:r>
      <w:r>
        <w:t xml:space="preserve">“</w:t>
      </w:r>
      <w:r>
        <w:t xml:space="preserve">random = row + range</w:t>
      </w:r>
      <w:r>
        <w:t xml:space="preserve">”</w:t>
      </w:r>
      <w:r>
        <w:t xml:space="preserve"> </w:t>
      </w:r>
      <w:r>
        <w:t xml:space="preserve">within the SpATS function.</w:t>
      </w:r>
      <w:r>
        <w:t xml:space="preserve"> </w:t>
      </w:r>
      <w:r>
        <w:t xml:space="preserve">The other parameters were set as default in the SpATS and its auxiliary SAP function, which corresponded to a cubic B-spline and second penalty order</w:t>
      </w:r>
      <w:r>
        <w:t xml:space="preserve"> </w:t>
      </w:r>
      <w:r>
        <w:t xml:space="preserve">(Rodríguez-Álvarez</w:t>
      </w:r>
      <w:r>
        <w:t xml:space="preserve"> </w:t>
      </w:r>
      <w:r>
        <w:rPr>
          <w:iCs/>
          <w:i/>
        </w:rPr>
        <w:t xml:space="preserve">et al.</w:t>
      </w:r>
      <w:r>
        <w:t xml:space="preserve"> </w:t>
      </w:r>
      <w:r>
        <w:t xml:space="preserve">2018)</w:t>
      </w:r>
      <w:r>
        <w:t xml:space="preserve">.</w:t>
      </w:r>
      <w:r>
        <w:t xml:space="preserve"> </w:t>
      </w:r>
      <w:r>
        <w:t xml:space="preserve">The getHeritability function was also used to calculate a generalized broad-sense heritability</w:t>
      </w:r>
      <w:r>
        <w:t xml:space="preserve"> </w:t>
      </w:r>
      <m:oMath>
        <m:sSup>
          <m:e>
            <m:r>
              <m:t>H</m:t>
            </m:r>
          </m:e>
          <m:sup>
            <m:r>
              <m:t>2</m:t>
            </m:r>
          </m:sup>
        </m:sSup>
      </m:oMath>
      <w:r>
        <w:t xml:space="preserve"> </w:t>
      </w:r>
      <w:r>
        <w:t xml:space="preserve">(Oakey</w:t>
      </w:r>
      <w:r>
        <w:t xml:space="preserve"> </w:t>
      </w:r>
      <w:r>
        <w:rPr>
          <w:iCs/>
          <w:i/>
        </w:rPr>
        <w:t xml:space="preserve">et al.</w:t>
      </w:r>
      <w:r>
        <w:t xml:space="preserve"> </w:t>
      </w:r>
      <w:r>
        <w:t xml:space="preserve">2006)</w:t>
      </w:r>
      <w:r>
        <w:t xml:space="preserve">.</w:t>
      </w:r>
      <w:r>
        <w:t xml:space="preserve"> </w:t>
      </w:r>
      <w:r>
        <w:t xml:space="preserve">The estimated spatial heterogeneity was visualized using the plot.variogram.SpATS function, which depicted sample variograms based on displacements among rows, ranges and residuals</w:t>
      </w:r>
      <w:r>
        <w:t xml:space="preserve"> </w:t>
      </w:r>
      <w:r>
        <w:t xml:space="preserve">(Gilmour</w:t>
      </w:r>
      <w:r>
        <w:t xml:space="preserve"> </w:t>
      </w:r>
      <w:r>
        <w:rPr>
          <w:iCs/>
          <w:i/>
        </w:rPr>
        <w:t xml:space="preserve">et al.</w:t>
      </w:r>
      <w:r>
        <w:t xml:space="preserve"> </w:t>
      </w:r>
      <w:r>
        <w:t xml:space="preserve">1997)</w:t>
      </w:r>
      <w:r>
        <w:t xml:space="preserve">.</w:t>
      </w:r>
    </w:p>
    <w:bookmarkEnd w:id="25"/>
    <w:bookmarkStart w:id="31" w:name="neighbor-gwas"/>
    <w:p>
      <w:pPr>
        <w:pStyle w:val="Heading2"/>
      </w:pPr>
      <w:r>
        <w:t xml:space="preserve">Neighbor GWAS</w:t>
      </w:r>
    </w:p>
    <w:bookmarkStart w:id="27"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2021b)</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of neighboring genotypes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r>
            <m:t> </m:t>
          </m:r>
          <m:r>
            <m:t> </m:t>
          </m:r>
          <m:r>
            <m:t> </m:t>
          </m:r>
          <m:r>
            <m:t> </m:t>
          </m:r>
          <m:r>
            <m:t> </m:t>
          </m:r>
          <m:r>
            <m:rPr>
              <m:nor/>
              <m:sty m:val="p"/>
            </m:rPr>
            <m:t>Eq. 1</m:t>
          </m:r>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r>
        <w:t xml:space="preserve"> </w:t>
      </w:r>
      <w:r>
        <w:t xml:space="preserve">For the two fixed effects</w:t>
      </w:r>
      <w:r>
        <w:t xml:space="preserve"> </w:t>
      </w:r>
      <m:oMath>
        <m:sSub>
          <m:e>
            <m:r>
              <m:t>β</m:t>
            </m:r>
          </m:e>
          <m:sub>
            <m:r>
              <m:t>1</m:t>
            </m:r>
          </m:sub>
        </m:sSub>
      </m:oMath>
      <w:r>
        <w:t xml:space="preserve"> </w:t>
      </w:r>
      <w:r>
        <w:t xml:space="preserve">and</w:t>
      </w:r>
      <w:r>
        <w:t xml:space="preserve"> </w:t>
      </w:r>
      <m:oMath>
        <m:sSub>
          <m:e>
            <m:r>
              <m:t>β</m:t>
            </m:r>
          </m:e>
          <m:sub>
            <m:r>
              <m:t>2</m:t>
            </m:r>
          </m:sub>
        </m:sSub>
      </m:oMath>
      <w:r>
        <w:t xml:space="preserve">, plant’s own genotypic values</w:t>
      </w:r>
      <w:r>
        <w:t xml:space="preserve"> </w:t>
      </w:r>
      <m:oMath>
        <m:sSub>
          <m:e>
            <m:r>
              <m:t>x</m:t>
            </m:r>
          </m:e>
          <m:sub>
            <m:r>
              <m:t>i</m:t>
            </m:r>
          </m:sub>
        </m:sSub>
      </m:oMath>
      <w:r>
        <w:t xml:space="preserve"> </w:t>
      </w:r>
      <w:r>
        <w:t xml:space="preserve">are converted as -1, 0, and +1 for one homozygote, heterozygote, and another homozygote.</w:t>
      </w:r>
      <w:r>
        <w:t xml:space="preserve"> </w:t>
      </w:r>
      <w:r>
        <w:t xml:space="preserve">Accordingly, the mean allelic identity between the focal and neighboring plants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r>
          <m:t>J</m:t>
        </m:r>
      </m:oMath>
      <w:r>
        <w:t xml:space="preserve"> </w:t>
      </w:r>
      <w:r>
        <w:t xml:space="preserve">takes from -1 (dissimilar) to +1 (similar), in which the sign of</w:t>
      </w:r>
      <w:r>
        <w:t xml:space="preserve"> </w:t>
      </w:r>
      <m:oMath>
        <m:sSub>
          <m:e>
            <m:r>
              <m:t>β</m:t>
            </m:r>
          </m:e>
          <m:sub>
            <m:r>
              <m:t>2</m:t>
            </m:r>
          </m:sub>
        </m:sSub>
      </m:oMath>
      <w:r>
        <w:t xml:space="preserve"> </w:t>
      </w:r>
      <w:r>
        <w:t xml:space="preserve">corresponded to negative or positive effects of allelic identity on a focal plant’s phenotype</w:t>
      </w:r>
      <w:r>
        <w:t xml:space="preserve"> </w:t>
      </w:r>
      <m:oMath>
        <m:sSub>
          <m:e>
            <m:r>
              <m:t>y</m:t>
            </m:r>
          </m:e>
          <m:sub>
            <m:r>
              <m:t>i</m:t>
            </m:r>
          </m:sub>
        </m:sSub>
      </m:oMath>
      <w:r>
        <w:t xml:space="preserve">.</w:t>
      </w:r>
      <w:r>
        <w:t xml:space="preserve"> </w:t>
      </w:r>
      <w:r>
        <w:t xml:space="preserve">Therefore, statistical tests of</w:t>
      </w:r>
      <w:r>
        <w:t xml:space="preserve"> </w:t>
      </w:r>
      <m:oMath>
        <m:sSub>
          <m:e>
            <m:r>
              <m:t>β</m:t>
            </m:r>
          </m:e>
          <m:sub>
            <m:r>
              <m:t>2</m:t>
            </m:r>
          </m:sub>
        </m:sSub>
      </m:oMath>
      <w:r>
        <w:t xml:space="preserve"> </w:t>
      </w:r>
      <w:r>
        <w:t xml:space="preserve">and its estimates enable GWAS with the inference for the positive or negative allelic interactions among neighboring plants.</w:t>
      </w:r>
      <w:r>
        <w:t xml:space="preserve"> </w:t>
      </w:r>
      <w:r>
        <w:t xml:space="preserve">For the random effects</w:t>
      </w:r>
      <w:r>
        <w:t xml:space="preserve"> </w:t>
      </w:r>
      <m:oMath>
        <m:sSub>
          <m:e>
            <m:r>
              <m:t>u</m:t>
            </m:r>
          </m:e>
          <m:sub>
            <m:r>
              <m:t>i</m:t>
            </m:r>
          </m:sub>
        </m:sSub>
      </m:oMath>
      <w:r>
        <w:t xml:space="preserve">, two variance-covariance matrices related to plant’s own and neighboring genotypes are considered as</w:t>
      </w:r>
      <w:r>
        <w:t xml:space="preserve"> </w:t>
      </w:r>
      <m:oMath>
        <m:sSub>
          <m:e>
            <m:r>
              <m:t>u</m:t>
            </m:r>
          </m:e>
          <m:sub>
            <m:r>
              <m:t>i</m:t>
            </m:r>
          </m:sub>
        </m:sSub>
        <m:r>
          <m:rPr>
            <m:sty m:val="p"/>
          </m:rPr>
          <m:t>∼</m:t>
        </m:r>
        <m:r>
          <m:rPr>
            <m:nor/>
            <m:sty m:val="p"/>
          </m:rPr>
          <m:t>Norm</m:t>
        </m:r>
        <m:d>
          <m:dPr>
            <m:begChr m:val="("/>
            <m:endChr m:val=")"/>
            <m:sepChr m:val=""/>
            <m:grow/>
          </m:dPr>
          <m:e>
            <m:r>
              <m:t>0</m:t>
            </m:r>
            <m:r>
              <m:rPr>
                <m:sty m:val="p"/>
              </m:rPr>
              <m:t>,</m:t>
            </m:r>
            <m:sSubSup>
              <m:e>
                <m:r>
                  <m:t>σ</m:t>
                </m:r>
              </m:e>
              <m:sub>
                <m:r>
                  <m:t>1</m:t>
                </m:r>
              </m:sub>
              <m:sup>
                <m:r>
                  <m:t>2</m:t>
                </m:r>
              </m:sup>
            </m:sSubSup>
            <m:sSub>
              <m:e>
                <m:r>
                  <m:rPr>
                    <m:sty m:val="b"/>
                  </m:rPr>
                  <m:t>K</m:t>
                </m:r>
              </m:e>
              <m:sub>
                <m:r>
                  <m:rPr>
                    <m:sty m:val="b"/>
                  </m:rPr>
                  <m:t>1</m:t>
                </m:r>
              </m:sub>
            </m:sSub>
            <m:r>
              <m:rPr>
                <m:sty m:val="p"/>
              </m:rPr>
              <m:t>+</m:t>
            </m:r>
            <m:sSubSup>
              <m:e>
                <m:r>
                  <m:t>σ</m:t>
                </m:r>
              </m:e>
              <m:sub>
                <m:r>
                  <m:t>2</m:t>
                </m:r>
              </m:sub>
              <m:sup>
                <m:r>
                  <m:t>2</m:t>
                </m:r>
              </m:sup>
            </m:sSubSup>
            <m:sSub>
              <m:e>
                <m:r>
                  <m:rPr>
                    <m:sty m:val="b"/>
                  </m:rPr>
                  <m:t>K</m:t>
                </m:r>
              </m:e>
              <m:sub>
                <m:r>
                  <m:rPr>
                    <m:sty m:val="b"/>
                  </m:rPr>
                  <m:t>2</m:t>
                </m:r>
              </m:sub>
            </m:sSub>
          </m:e>
        </m:d>
      </m:oMath>
      <w:r>
        <w:t xml:space="preserve">, where a tilde means</w:t>
      </w:r>
      <w:r>
        <w:t xml:space="preserve"> </w:t>
      </w:r>
      <w:r>
        <w:t xml:space="preserve">‘</w:t>
      </w:r>
      <w:r>
        <w:t xml:space="preserve">distributed as</w:t>
      </w:r>
      <w:r>
        <w:t xml:space="preserve">’</w:t>
      </w:r>
      <w:r>
        <w:t xml:space="preserve">. The two variance component parameters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respectively represents polygenic effects of plant’s own and neighboring genotypes on a phenotype</w:t>
      </w:r>
      <w:r>
        <w:t xml:space="preserve"> </w:t>
      </w:r>
      <m:oMath>
        <m:sSub>
          <m:e>
            <m:r>
              <m:t>y</m:t>
            </m:r>
          </m:e>
          <m:sub>
            <m:r>
              <m:t>i</m:t>
            </m:r>
          </m:sub>
        </m:sSub>
      </m:oMath>
      <w:r>
        <w:t xml:space="preserve">, in which</w:t>
      </w:r>
      <w:r>
        <w:t xml:space="preserve"> </w:t>
      </w:r>
      <m:oMath>
        <m:sSub>
          <m:e>
            <m:r>
              <m:rPr>
                <m:sty m:val="b"/>
              </m:rPr>
              <m:t>K</m:t>
            </m:r>
          </m:e>
          <m:sub>
            <m:r>
              <m:rPr>
                <m:sty m:val="b"/>
              </m:rPr>
              <m:t>1</m:t>
            </m:r>
          </m:sub>
        </m:sSub>
      </m:oMath>
      <w:r>
        <w:t xml:space="preserve"> </w:t>
      </w:r>
      <w:r>
        <w:t xml:space="preserve">is a kinship matrix and</w:t>
      </w:r>
      <w:r>
        <w:t xml:space="preserve"> </w:t>
      </w:r>
      <m:oMath>
        <m:sSub>
          <m:e>
            <m:r>
              <m:rPr>
                <m:sty m:val="b"/>
              </m:rPr>
              <m:t>K</m:t>
            </m:r>
          </m:e>
          <m:sub>
            <m:r>
              <m:rPr>
                <m:sty m:val="b"/>
              </m:rPr>
              <m:t>2</m:t>
            </m:r>
          </m:sub>
        </m:sSub>
      </m:oMath>
      <w:r>
        <w:t xml:space="preserve"> </w:t>
      </w:r>
      <w:r>
        <w:t xml:space="preserve">represents neighbor genotypic similarity across a field (see Appendix S1).</w:t>
      </w:r>
      <w:r>
        <w:t xml:space="preserve"> </w:t>
      </w:r>
      <w:r>
        <w:t xml:space="preserve">The rest unexplained variation, i.e., residual, follows a normal distribution as</w:t>
      </w:r>
      <w:r>
        <w:t xml:space="preserve"> </w:t>
      </w:r>
      <m:oMath>
        <m:sSub>
          <m:e>
            <m:r>
              <m:t>e</m:t>
            </m:r>
          </m:e>
          <m:sub>
            <m:r>
              <m:t>i</m:t>
            </m:r>
          </m:sub>
        </m:sSub>
        <m:r>
          <m:rPr>
            <m:sty m:val="p"/>
          </m:rPr>
          <m:t>∼</m:t>
        </m:r>
        <m:r>
          <m:rPr>
            <m:nor/>
            <m:sty m:val="p"/>
          </m:rPr>
          <m:t>Norm</m:t>
        </m:r>
        <m:d>
          <m:dPr>
            <m:begChr m:val="("/>
            <m:endChr m:val=")"/>
            <m:sepChr m:val=""/>
            <m:grow/>
          </m:dPr>
          <m:e>
            <m:r>
              <m:t>0</m:t>
            </m:r>
            <m:r>
              <m:rPr>
                <m:sty m:val="p"/>
              </m:rPr>
              <m:t>,</m:t>
            </m:r>
            <m:sSubSup>
              <m:e>
                <m:r>
                  <m:t>σ</m:t>
                </m:r>
              </m:e>
              <m:sub>
                <m:r>
                  <m:t>e</m:t>
                </m:r>
              </m:sub>
              <m:sup>
                <m:r>
                  <m:t>2</m:t>
                </m:r>
              </m:sup>
            </m:sSubSup>
            <m:r>
              <m:rPr>
                <m:sty m:val="b"/>
              </m:rPr>
              <m:t>I</m:t>
            </m:r>
          </m:e>
        </m:d>
      </m:oMath>
      <w:r>
        <w:t xml:space="preserve">.</w:t>
      </w:r>
      <w:r>
        <w:t xml:space="preserve"> </w:t>
      </w:r>
      <w:r>
        <w:t xml:space="preserve">Net phenotypic variation explained (PVE) by neighboring genotypes can be quantified as PVE =</w:t>
      </w:r>
      <w:r>
        <w:t xml:space="preserve"> </w:t>
      </w:r>
      <m:oMath>
        <m:d>
          <m:dPr>
            <m:begChr m:val="["/>
            <m:endChr m:val="]"/>
            <m:sepChr m:val=""/>
            <m:grow/>
          </m:dPr>
          <m:e>
            <m:d>
              <m:dPr>
                <m:begChr m:val="("/>
                <m:endChr m:val=")"/>
                <m:sepChr m:val=""/>
                <m:grow/>
              </m:dPr>
              <m:e>
                <m:sSubSup>
                  <m:e>
                    <m:r>
                      <m:t>σ</m:t>
                    </m:r>
                  </m:e>
                  <m:sub>
                    <m:r>
                      <m:t>1</m:t>
                    </m:r>
                  </m:sub>
                  <m:sup>
                    <m:r>
                      <m:t>2</m:t>
                    </m:r>
                  </m:sup>
                </m:sSubSup>
                <m:r>
                  <m:rPr>
                    <m:sty m:val="p"/>
                  </m:rPr>
                  <m:t>+</m:t>
                </m:r>
                <m:sSubSup>
                  <m:e>
                    <m:r>
                      <m:t>σ</m:t>
                    </m:r>
                  </m:e>
                  <m:sub>
                    <m:r>
                      <m:t>2</m:t>
                    </m:r>
                  </m:sub>
                  <m:sup>
                    <m:r>
                      <m:t>2</m:t>
                    </m:r>
                  </m:sup>
                </m:sSubSup>
              </m:e>
            </m:d>
            <m:r>
              <m:rPr>
                <m:sty m:val="p"/>
              </m:rPr>
              <m:t>/</m:t>
            </m:r>
            <m:d>
              <m:dPr>
                <m:begChr m:val="("/>
                <m:endChr m:val=")"/>
                <m:sepChr m:val=""/>
                <m:grow/>
              </m:dPr>
              <m:e>
                <m:sSubSup>
                  <m:e>
                    <m:r>
                      <m:t>σ</m:t>
                    </m:r>
                  </m:e>
                  <m:sub>
                    <m:r>
                      <m:t>1</m:t>
                    </m:r>
                  </m:sub>
                  <m:sup>
                    <m:r>
                      <m:t>2</m:t>
                    </m:r>
                  </m:sup>
                </m:sSubSup>
                <m:r>
                  <m:rPr>
                    <m:sty m:val="p"/>
                  </m:rPr>
                  <m:t>+</m:t>
                </m:r>
                <m:sSubSup>
                  <m:e>
                    <m:r>
                      <m:t>σ</m:t>
                    </m:r>
                  </m:e>
                  <m:sub>
                    <m:r>
                      <m:t>2</m:t>
                    </m:r>
                  </m:sub>
                  <m:sup>
                    <m:r>
                      <m:t>2</m:t>
                    </m:r>
                  </m:sup>
                </m:sSubSup>
                <m:r>
                  <m:rPr>
                    <m:sty m:val="p"/>
                  </m:rPr>
                  <m:t>+</m:t>
                </m:r>
                <m:sSubSup>
                  <m:e>
                    <m:r>
                      <m:t>σ</m:t>
                    </m:r>
                  </m:e>
                  <m:sub>
                    <m:r>
                      <m:t>e</m:t>
                    </m:r>
                  </m:sub>
                  <m:sup>
                    <m:r>
                      <m:t>2</m:t>
                    </m:r>
                  </m:sup>
                </m:sSubSup>
              </m:e>
            </m:d>
          </m:e>
        </m:d>
        <m:r>
          <m:rPr>
            <m:sty m:val="p"/>
          </m:rPr>
          <m:t>−</m:t>
        </m:r>
        <m:sSup>
          <m:e>
            <m:r>
              <m:t>h</m:t>
            </m:r>
          </m:e>
          <m:sup>
            <m:r>
              <m:t>2</m:t>
            </m:r>
          </m:sup>
        </m:sSup>
      </m:oMath>
      <w:r>
        <w:t xml:space="preserve">, where</w:t>
      </w:r>
      <w:r>
        <w:t xml:space="preserve"> </w:t>
      </w:r>
      <m:oMath>
        <m:sSup>
          <m:e>
            <m:r>
              <m:t>h</m:t>
            </m:r>
          </m:e>
          <m:sup>
            <m:r>
              <m:t>2</m:t>
            </m:r>
          </m:sup>
        </m:sSup>
      </m:oMath>
      <w:r>
        <w:t xml:space="preserve"> </w:t>
      </w:r>
      <w:r>
        <w:t xml:space="preserve">is a SNP heritability quantified by a standard GWAS model.</w:t>
      </w:r>
      <w:r>
        <w:t xml:space="preserve"> </w:t>
      </w:r>
      <w:r>
        <w:t xml:space="preserve">In short, variation partitioning can be performed by estimating two variance components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All the relevant methods of Neighbor GWAS are implemented as the rNeighbor GWAS package v1.2.4 (</w:t>
      </w:r>
      <w:hyperlink r:id="rId26">
        <w:r>
          <w:rPr>
            <w:rStyle w:val="Hyperlink"/>
          </w:rPr>
          <w:t xml:space="preserve">https://doi.org/10.32614/CRAN.package.rNeighborGWAS</w:t>
        </w:r>
      </w:hyperlink>
      <w:r>
        <w:t xml:space="preserve">), which depends on the gaston package</w:t>
      </w:r>
      <w:r>
        <w:t xml:space="preserve"> </w:t>
      </w:r>
      <w:r>
        <w:t xml:space="preserve">(Perdry and Dandine-Roulland 2022)</w:t>
      </w:r>
      <w:r>
        <w:t xml:space="preserve"> </w:t>
      </w:r>
      <w:r>
        <w:t xml:space="preserve">and uses its lmm.aireml and lmm.diago functions to solve mixed models and perform GWAS, respectively.</w:t>
      </w:r>
      <w:r>
        <w:t xml:space="preserve"> </w:t>
      </w:r>
      <w:r>
        <w:t xml:space="preserve">Theoretical details are described in</w:t>
      </w:r>
      <w:r>
        <w:t xml:space="preserve"> </w:t>
      </w:r>
      <w:r>
        <w:t xml:space="preserve">Sato</w:t>
      </w:r>
      <w:r>
        <w:t xml:space="preserve"> </w:t>
      </w:r>
      <w:r>
        <w:rPr>
          <w:iCs/>
          <w:i/>
        </w:rPr>
        <w:t xml:space="preserve">et al.</w:t>
      </w:r>
      <w:r>
        <w:t xml:space="preserve"> </w:t>
      </w:r>
      <w:r>
        <w:t xml:space="preserve">(2021b)</w:t>
      </w:r>
      <w:r>
        <w:t xml:space="preserve">.</w:t>
      </w:r>
    </w:p>
    <w:bookmarkEnd w:id="27"/>
    <w:bookmarkStart w:id="28" w:name="Xd5c3e63853e5637da2571a35f2e1f96aa16f0b0"/>
    <w:p>
      <w:pPr>
        <w:pStyle w:val="Heading3"/>
      </w:pPr>
      <w:r>
        <w:t xml:space="preserve">Phenotypic variation explained by neighbor genotypes</w:t>
      </w:r>
    </w:p>
    <w:p>
      <w:pPr>
        <w:pStyle w:val="FirstParagraph"/>
      </w:pPr>
      <w:r>
        <w:t xml:space="preserve">We used the Neighbor GWAS package to estimate the variance components</w:t>
      </w:r>
      <w:r>
        <w:t xml:space="preserve"> </w:t>
      </w:r>
      <m:oMath>
        <m:sSubSup>
          <m:e>
            <m:r>
              <m:t>σ</m:t>
            </m:r>
          </m:e>
          <m:sub>
            <m:r>
              <m:t>1</m:t>
            </m:r>
          </m:sub>
          <m:sup>
            <m:r>
              <m:t>2</m:t>
            </m:r>
          </m:sup>
        </m:sSubSup>
      </m:oMath>
      <w:r>
        <w:t xml:space="preserve">,</w:t>
      </w:r>
      <w:r>
        <w:t xml:space="preserve"> </w:t>
      </w:r>
      <m:oMath>
        <m:sSubSup>
          <m:e>
            <m:r>
              <m:t>σ</m:t>
            </m:r>
          </m:e>
          <m:sub>
            <m:r>
              <m:t>2</m:t>
            </m:r>
          </m:sub>
          <m:sup>
            <m:r>
              <m:t>2</m:t>
            </m:r>
          </m:sup>
        </m:sSubSup>
      </m:oMath>
      <w:r>
        <w:t xml:space="preserve">, and</w:t>
      </w:r>
      <w:r>
        <w:t xml:space="preserve"> </w:t>
      </w:r>
      <m:oMath>
        <m:sSubSup>
          <m:e>
            <m:r>
              <m:t>σ</m:t>
            </m:r>
          </m:e>
          <m:sub>
            <m:r>
              <m:t>e</m:t>
            </m:r>
          </m:sub>
          <m:sup>
            <m:r>
              <m:t>2</m:t>
            </m:r>
          </m:sup>
        </m:sSubSup>
      </m:oMath>
      <w:r>
        <w:t xml:space="preserve"> </w:t>
      </w:r>
      <w:r>
        <w:t xml:space="preserve">and examine how largely spatial variation can be explained by plants’ own and neighboring genotypes.</w:t>
      </w:r>
      <w:r>
        <w:t xml:space="preserve"> </w:t>
      </w:r>
      <w:r>
        <w:t xml:space="preserve">We examined two cut-off thresholds of minor allele frequency (MAF) at 5% or 1%, leaving approx. 20,578 and 14,568 SNPs, respectively (Table 1).</w:t>
      </w:r>
      <w:r>
        <w:t xml:space="preserve"> </w:t>
      </w:r>
      <w:r>
        <w:t xml:space="preserve">The former cut-off percentage is often adopted in plant GWAS</w:t>
      </w:r>
      <w:r>
        <w:t xml:space="preserve"> </w:t>
      </w:r>
      <w:r>
        <w:t xml:space="preserve">(Tibbs Cortes</w:t>
      </w:r>
      <w:r>
        <w:t xml:space="preserve"> </w:t>
      </w:r>
      <w:r>
        <w:rPr>
          <w:iCs/>
          <w:i/>
        </w:rPr>
        <w:t xml:space="preserve">et al.</w:t>
      </w:r>
      <w:r>
        <w:t xml:space="preserve"> </w:t>
      </w:r>
      <w:r>
        <w:t xml:space="preserve">2021)</w:t>
      </w:r>
      <w:r>
        <w:t xml:space="preserve"> </w:t>
      </w:r>
      <w:r>
        <w:t xml:space="preserve">while the latter includes relatively rare but sometimes meaningful variants</w:t>
      </w:r>
      <w:r>
        <w:t xml:space="preserve"> </w:t>
      </w:r>
      <w:r>
        <w:t xml:space="preserve">(Tibbs Cortes</w:t>
      </w:r>
      <w:r>
        <w:t xml:space="preserve"> </w:t>
      </w:r>
      <w:r>
        <w:rPr>
          <w:iCs/>
          <w:i/>
        </w:rPr>
        <w:t xml:space="preserve">et al.</w:t>
      </w:r>
      <w:r>
        <w:t xml:space="preserve"> </w:t>
      </w:r>
      <w:r>
        <w:t xml:space="preserve">2021; Xu</w:t>
      </w:r>
      <w:r>
        <w:t xml:space="preserve"> </w:t>
      </w:r>
      <w:r>
        <w:rPr>
          <w:iCs/>
          <w:i/>
        </w:rPr>
        <w:t xml:space="preserve">et al.</w:t>
      </w:r>
      <w:r>
        <w:t xml:space="preserve"> </w:t>
      </w:r>
      <w:r>
        <w:t xml:space="preserve">2023)</w:t>
      </w:r>
      <w:r>
        <w:t xml:space="preserve">.</w:t>
      </w:r>
      <w:r>
        <w:t xml:space="preserve"> </w:t>
      </w:r>
      <w:r>
        <w:t xml:space="preserve">The damage severity score (from 1 to 9) of three disease symptoms was separately analyzed as a target phenotype: net form net blotch, spot form net blotch, and scald.</w:t>
      </w:r>
      <w:r>
        <w:t xml:space="preserve"> </w:t>
      </w:r>
      <w:r>
        <w:t xml:space="preserve">The end-point damage score was used as a representative phenotype for each year.</w:t>
      </w:r>
      <w:r>
        <w:t xml:space="preserve"> </w:t>
      </w:r>
      <w:r>
        <w:t xml:space="preserve">Non-genetic covariates were also considered for the differences of the three study years (2015, 2016, and 2017) and spatial positions (rows and ranges) of field plots.</w:t>
      </w:r>
      <w:r>
        <w:t xml:space="preserve"> </w:t>
      </w:r>
      <w:r>
        <w:t xml:space="preserve">Along the rows and ranges, SpATS analysis detected the non-linear spatial trends of disease phenotypic values among field plots (see Results below); therefore, the first to fourth polynomials were considered for the non-genetic covariates of rows and ranges to correct for the non-linear spatial patterns.</w:t>
      </w:r>
      <w:r>
        <w:t xml:space="preserve"> </w:t>
      </w:r>
      <w:r>
        <w:t xml:space="preserve">Regarding the spatial range to be referred, we analyzed up to the fourth nearest neighbors in a field, which corresponds up to 4.2 Euclidean distance from focal plants.</w:t>
      </w:r>
      <w:r>
        <w:t xml:space="preserve"> </w:t>
      </w:r>
      <w:r>
        <w:t xml:space="preserve">This is because, when a spatial range is too broad, plant’s own genotypic value</w:t>
      </w:r>
      <w:r>
        <w:t xml:space="preserve"> </w:t>
      </w:r>
      <m:oMath>
        <m:sSub>
          <m:e>
            <m:r>
              <m:t>x</m:t>
            </m:r>
          </m:e>
          <m:sub>
            <m:r>
              <m:t>i</m:t>
            </m:r>
          </m:sub>
        </m:sSub>
      </m:oMath>
      <w:r>
        <w:t xml:space="preserve"> </w:t>
      </w:r>
      <w:r>
        <w:t xml:space="preserve">and neighbor genotypic values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r>
              <m:rPr>
                <m:sty m:val="p"/>
              </m:rPr>
              <m:t>/</m:t>
            </m:r>
            <m:r>
              <m:t>J</m:t>
            </m:r>
          </m:e>
        </m:nary>
      </m:oMath>
      <w:r>
        <w:t xml:space="preserve"> </w:t>
      </w:r>
      <w:r>
        <w:t xml:space="preserve">have a severe co-linearity</w:t>
      </w:r>
      <w:r>
        <w:t xml:space="preserve"> </w:t>
      </w:r>
      <w:r>
        <w:t xml:space="preserve">(Sato</w:t>
      </w:r>
      <w:r>
        <w:t xml:space="preserve"> </w:t>
      </w:r>
      <w:r>
        <w:rPr>
          <w:iCs/>
          <w:i/>
        </w:rPr>
        <w:t xml:space="preserve">et al.</w:t>
      </w:r>
      <w:r>
        <w:t xml:space="preserve"> </w:t>
      </w:r>
      <w:r>
        <w:t xml:space="preserve">2021b, 2024)</w:t>
      </w:r>
      <w:r>
        <w:t xml:space="preserve">.</w:t>
      </w:r>
      <w:r>
        <w:t xml:space="preserve"> </w:t>
      </w:r>
      <w:r>
        <w:t xml:space="preserve">To address such a co-linearity, likelihood ratio tests were performed for Eq. 1 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8"/>
    <w:bookmarkStart w:id="30"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r>
        <w:t xml:space="preserve"> </w:t>
      </w:r>
      <w:r>
        <w:t xml:space="preserve">The target phenotype and non-genetic covariates were the same as the PVE analysis above.</w:t>
      </w:r>
      <w:r>
        <w:t xml:space="preserve"> </w:t>
      </w:r>
      <w:r>
        <w:t xml:space="preserve">Each SNP was tested after diagonalization on a weighted kinship matrix</w:t>
      </w:r>
      <w:r>
        <w:t xml:space="preserve"> </w:t>
      </w:r>
      <m:oMath>
        <m:r>
          <m:rPr>
            <m:sty m:val="b"/>
          </m:rPr>
          <m:t>K</m:t>
        </m:r>
        <m:r>
          <m:rPr>
            <m:sty m:val="b"/>
          </m:rPr>
          <m:t>′</m:t>
        </m:r>
        <m:r>
          <m:rPr>
            <m:sty m:val="p"/>
          </m:rPr>
          <m:t>=</m:t>
        </m:r>
        <m:sSubSup>
          <m:e>
            <m:acc>
              <m:accPr>
                <m:chr m:val="̂"/>
              </m:accPr>
              <m:e>
                <m:r>
                  <m:t>σ</m:t>
                </m:r>
              </m:e>
            </m:acc>
          </m:e>
          <m:sub>
            <m:r>
              <m:t>1</m:t>
            </m:r>
          </m:sub>
          <m:sup>
            <m:r>
              <m:t>2</m:t>
            </m:r>
          </m:sup>
        </m:sSubSup>
        <m:sSub>
          <m:e>
            <m:r>
              <m:rPr>
                <m:sty m:val="b"/>
              </m:rPr>
              <m:t>K</m:t>
            </m:r>
          </m:e>
          <m:sub>
            <m:r>
              <m:rPr>
                <m:sty m:val="b"/>
              </m:rPr>
              <m:t>1</m:t>
            </m:r>
          </m:sub>
        </m:sSub>
        <m:r>
          <m:rPr>
            <m:sty m:val="p"/>
          </m:rPr>
          <m:t>+</m:t>
        </m:r>
        <m:sSubSup>
          <m:e>
            <m:acc>
              <m:accPr>
                <m:chr m:val="̂"/>
              </m:accPr>
              <m:e>
                <m:r>
                  <m:t>σ</m:t>
                </m:r>
              </m:e>
            </m:acc>
          </m:e>
          <m:sub>
            <m:r>
              <m:t>2</m:t>
            </m:r>
          </m:sub>
          <m:sup>
            <m:r>
              <m:t>2</m:t>
            </m:r>
          </m:sup>
        </m:sSubSup>
        <m:sSub>
          <m:e>
            <m:r>
              <m:rPr>
                <m:sty m:val="b"/>
              </m:rPr>
              <m:t>K</m:t>
            </m:r>
          </m:e>
          <m:sub>
            <m:r>
              <m:rPr>
                <m:sty m:val="b"/>
              </m:rPr>
              <m:t>2</m:t>
            </m:r>
          </m:sub>
        </m:sSub>
      </m:oMath>
      <w:r>
        <w:t xml:space="preserve"> </w:t>
      </w:r>
      <w:r>
        <w:t xml:space="preserve">(see Sato</w:t>
      </w:r>
      <w:r>
        <w:t xml:space="preserve"> </w:t>
      </w:r>
      <w:r>
        <w:rPr>
          <w:iCs/>
          <w:i/>
        </w:rPr>
        <w:t xml:space="preserve">et al.</w:t>
      </w:r>
      <w:r>
        <w:t xml:space="preserve"> </w:t>
      </w:r>
      <w:r>
        <w:t xml:space="preserve">2021b for details)</w:t>
      </w:r>
      <w:r>
        <w:t xml:space="preserve">.</w:t>
      </w:r>
      <w:r>
        <w:t xml:space="preserve"> </w:t>
      </w:r>
      <w:r>
        <w:t xml:space="preserve">GWAS was repeated up to the spatial distance at 4.2 and separately performed for the three phenotypes, namely net form net blotch, spot form net blotch, and scald.</w:t>
      </w:r>
      <w:r>
        <w:t xml:space="preserve"> </w:t>
      </w:r>
      <w:r>
        <w:t xml:space="preserve">To test whether QTLs overlapped between plant’s own and neighbor genotypic effects, we also performed standard GWAS, which was a subset of the Neighbor GWAS model (Eq. 1) when</w:t>
      </w:r>
      <w:r>
        <w:t xml:space="preserve"> </w:t>
      </w:r>
      <m:oMath>
        <m:sSub>
          <m:e>
            <m:r>
              <m:t>β</m:t>
            </m:r>
          </m:e>
          <m:sub>
            <m:r>
              <m:t>2</m:t>
            </m:r>
          </m:sub>
        </m:sSub>
      </m:oMath>
      <w:r>
        <w:t xml:space="preserve"> </w:t>
      </w:r>
      <w:r>
        <w:t xml:space="preserve">and</w:t>
      </w:r>
      <w:r>
        <w:t xml:space="preserve"> </w:t>
      </w:r>
      <m:oMath>
        <m:sSubSup>
          <m:e>
            <m:r>
              <m:t>σ</m:t>
            </m:r>
          </m:e>
          <m:sub>
            <m:r>
              <m:t>2</m:t>
            </m:r>
          </m:sub>
          <m:sup>
            <m:r>
              <m:t>2</m:t>
            </m:r>
          </m:sup>
        </m:sSubSup>
      </m:oMath>
      <w:r>
        <w:t xml:space="preserve"> </w:t>
      </w:r>
      <w:r>
        <w:t xml:space="preserve">were set at 0.</w:t>
      </w:r>
      <w:r>
        <w:t xml:space="preserve"> </w:t>
      </w:r>
      <w:r>
        <w:t xml:space="preserve">The standard GWAS was also performed using Neighbor GWAS, which internally uses the gaston package of R</w:t>
      </w:r>
      <w:r>
        <w:t xml:space="preserve"> </w:t>
      </w:r>
      <w:r>
        <w:t xml:space="preserve">(Perdry and Dandine-Roulland 2022)</w:t>
      </w:r>
      <w:r>
        <w:t xml:space="preserve">.</w:t>
      </w:r>
      <w:r>
        <w:t xml:space="preserve"> </w:t>
      </w:r>
      <w:r>
        <w:t xml:space="preserve">We determined the statistical significance at</w:t>
      </w:r>
      <w:r>
        <w:t xml:space="preserve"> </w:t>
      </w:r>
      <m:oMath>
        <m:r>
          <m:t>p</m:t>
        </m:r>
      </m:oMath>
      <w:r>
        <w:t xml:space="preserve"> </w:t>
      </w:r>
      <w:r>
        <w:t xml:space="preserve">= 0.05 and the marginal significance between</w:t>
      </w:r>
      <w:r>
        <w:t xml:space="preserve"> </w:t>
      </w:r>
      <m:oMath>
        <m:r>
          <m:t>p</m:t>
        </m:r>
      </m:oMath>
      <w:r>
        <w:t xml:space="preserve"> </w:t>
      </w:r>
      <w:r>
        <w:t xml:space="preserve">= 0.05 and 0.1 throughout the present study.</w:t>
      </w:r>
      <w:r>
        <w:t xml:space="preserve"> </w:t>
      </w:r>
      <w:r>
        <w:t xml:space="preserve">To check if any genes are located near our focal SNPs, we refer to the genome annotation of Barley Morex V3</w:t>
      </w:r>
      <w:r>
        <w:t xml:space="preserve"> </w:t>
      </w:r>
      <w:r>
        <w:t xml:space="preserve">(Mascher</w:t>
      </w:r>
      <w:r>
        <w:t xml:space="preserve"> </w:t>
      </w:r>
      <w:r>
        <w:rPr>
          <w:iCs/>
          <w:i/>
        </w:rPr>
        <w:t xml:space="preserve">et al.</w:t>
      </w:r>
      <w:r>
        <w:t xml:space="preserve"> </w:t>
      </w:r>
      <w:r>
        <w:t xml:space="preserve">2021)</w:t>
      </w:r>
      <w:r>
        <w:t xml:space="preserve"> </w:t>
      </w:r>
      <w:r>
        <w:t xml:space="preserve">through the GrainGenes database (</w:t>
      </w:r>
      <w:hyperlink r:id="rId29">
        <w:r>
          <w:rPr>
            <w:rStyle w:val="Hyperlink"/>
          </w:rPr>
          <w:t xml:space="preserve">https://wheat.pw.usda.gov/GG3/genome_browser</w:t>
        </w:r>
      </w:hyperlink>
      <w:r>
        <w:t xml:space="preserve">).</w:t>
      </w:r>
    </w:p>
    <w:bookmarkEnd w:id="30"/>
    <w:bookmarkEnd w:id="31"/>
    <w:bookmarkEnd w:id="32"/>
    <w:bookmarkStart w:id="36" w:name="results"/>
    <w:p>
      <w:pPr>
        <w:pStyle w:val="Heading1"/>
      </w:pPr>
      <w:r>
        <w:t xml:space="preserve">Results</w:t>
      </w:r>
    </w:p>
    <w:bookmarkStart w:id="33" w:name="X576536956dd33d8c2a69307df5026af523ebb8d"/>
    <w:p>
      <w:pPr>
        <w:pStyle w:val="Heading2"/>
      </w:pPr>
      <w:r>
        <w:t xml:space="preserve">Spatial heterogeneity of disease infection</w:t>
      </w:r>
    </w:p>
    <w:p>
      <w:pPr>
        <w:pStyle w:val="FirstParagraph"/>
      </w:pPr>
      <w:r>
        <w:t xml:space="preserve">We used SpATS to distinguish genetic and spatial variation in the three disease phenotypes — namely, net form net blotch, spot form net blotch, and scald — among barley cultivars. The generalized broad-sense heritability</w:t>
      </w:r>
      <w:r>
        <w:t xml:space="preserve"> </w:t>
      </w:r>
      <m:oMath>
        <m:sSup>
          <m:e>
            <m:r>
              <m:t>H</m:t>
            </m:r>
          </m:e>
          <m:sup>
            <m:r>
              <m:t>2</m:t>
            </m:r>
          </m:sup>
        </m:sSup>
      </m:oMath>
      <w:r>
        <w:t xml:space="preserve"> </w:t>
      </w:r>
      <w:r>
        <w:t xml:space="preserve">(Oakey</w:t>
      </w:r>
      <w:r>
        <w:t xml:space="preserve"> </w:t>
      </w:r>
      <w:r>
        <w:rPr>
          <w:iCs/>
          <w:i/>
        </w:rPr>
        <w:t xml:space="preserve">et al.</w:t>
      </w:r>
      <w:r>
        <w:t xml:space="preserve"> </w:t>
      </w:r>
      <w:r>
        <w:t xml:space="preserve">2006)</w:t>
      </w:r>
      <w:r>
        <w:t xml:space="preserve"> </w:t>
      </w:r>
      <w:r>
        <w:t xml:space="preserve">was estimated as 0.78 for the net form net blotch; 0.68 for spot form net blotch; and 0.65 for scald, indicating that the moderate to high variation could be explained by plants’ own genotypes. Besides these genetic variations, SpATS analysis quantified spatial variation along the rows and columns of field plots (Table 2). The net form net blotch exhibited considerable spatial variation along the row position, while the spot form net blotch showed less spatial variation (Table 2). The scald exhibited substantial spatial variation along both rows and ranges (Table 2). Still, all these diseases had substantial residuals unexplained by genotypes and spatial proximity. Such extraneous variation was displayed for unexplained residuals along the rows and columns, such that sample variograms presented the wavy pattern for each disease (Fig. 1A-C). These results showed that the substantial spatial heterogeneity of disease infection was unexplained by plants’ own genotypes and smooth spatial trends, leaving a room to incorporate the other factors such as neighboring genotypes.</w:t>
      </w:r>
    </w:p>
    <w:bookmarkEnd w:id="33"/>
    <w:bookmarkStart w:id="34"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 To address this question, we calculated phenotypic variation explained by neighbor genotype identity using the Neighbor GWAS model with the rows and ranges incorporated as non-genetic covariates. All the three phenotypes of disease infection exhibited &gt;20% SNP heritability</w:t>
      </w:r>
      <w:r>
        <w:t xml:space="preserve"> </w:t>
      </w:r>
      <m:oMath>
        <m:sSubSup>
          <m:e>
            <m:r>
              <m:t>h</m:t>
            </m:r>
          </m:e>
          <m:sub>
            <m:r>
              <m:rPr>
                <m:nor/>
                <m:sty m:val="p"/>
              </m:rPr>
              <m:t>SNP</m:t>
            </m:r>
          </m:sub>
          <m:sup>
            <m:r>
              <m:t>2</m:t>
            </m:r>
          </m:sup>
        </m:sSubSup>
      </m:oMath>
      <w:r>
        <w:t xml:space="preserve"> </w:t>
      </w:r>
      <w:r>
        <w:t xml:space="preserve">regarding plant’s own genotypic effects (blue bars in Fig. 2A-C). The net form net blotch showed 36.6% heritability at the 5% significance level (PVE at zero distance equivalent to</w:t>
      </w:r>
      <w:r>
        <w:t xml:space="preserve"> </w:t>
      </w:r>
      <m:oMath>
        <m:sSubSup>
          <m:e>
            <m:r>
              <m:t>h</m:t>
            </m:r>
          </m:e>
          <m:sub>
            <m:r>
              <m:rPr>
                <m:nor/>
                <m:sty m:val="p"/>
              </m:rPr>
              <m:t>SNP</m:t>
            </m:r>
          </m:sub>
          <m:sup>
            <m:r>
              <m:t>2</m:t>
            </m:r>
          </m:sup>
        </m:sSubSup>
      </m:oMath>
      <w:r>
        <w:t xml:space="preserve"> </w:t>
      </w:r>
      <w:r>
        <w:t xml:space="preserve">= 0.366,</w:t>
      </w:r>
      <w:r>
        <w:t xml:space="preserve"> </w:t>
      </w:r>
      <m:oMath>
        <m:sSubSup>
          <m:e>
            <m:r>
              <m:t>χ</m:t>
            </m:r>
          </m:e>
          <m:sub>
            <m:r>
              <m:t>1</m:t>
            </m:r>
          </m:sub>
          <m:sup>
            <m:r>
              <m:t>2</m:t>
            </m:r>
          </m:sup>
        </m:sSubSup>
      </m:oMath>
      <w:r>
        <w:t xml:space="preserve"> </w:t>
      </w:r>
      <w:r>
        <w:t xml:space="preserve">= 5.01,</w:t>
      </w:r>
      <w:r>
        <w:t xml:space="preserve"> </w:t>
      </w:r>
      <m:oMath>
        <m:r>
          <m:t>p</m:t>
        </m:r>
      </m:oMath>
      <w:r>
        <w:t xml:space="preserve"> </w:t>
      </w:r>
      <w:r>
        <w:t xml:space="preserve">&lt; 0.05: see Table S2 for exact</w:t>
      </w:r>
      <w:r>
        <w:t xml:space="preserve"> </w:t>
      </w:r>
      <m:oMath>
        <m:r>
          <m:t>p</m:t>
        </m:r>
      </m:oMath>
      <w:r>
        <w:t xml:space="preserve">-values). The spot form net blotch showed 22.8% heritability but at the marginally significance level (</w:t>
      </w:r>
      <m:oMath>
        <m:sSubSup>
          <m:e>
            <m:r>
              <m:t>h</m:t>
            </m:r>
          </m:e>
          <m:sub>
            <m:r>
              <m:rPr>
                <m:nor/>
                <m:sty m:val="p"/>
              </m:rPr>
              <m:t>SNP</m:t>
            </m:r>
          </m:sub>
          <m:sup>
            <m:r>
              <m:t>2</m:t>
            </m:r>
          </m:sup>
        </m:sSubSup>
      </m:oMath>
      <w:r>
        <w:t xml:space="preserve"> </w:t>
      </w:r>
      <w:r>
        <w:t xml:space="preserve">= 0.228,</w:t>
      </w:r>
      <w:r>
        <w:t xml:space="preserve"> </w:t>
      </w:r>
      <m:oMath>
        <m:sSubSup>
          <m:e>
            <m:r>
              <m:t>χ</m:t>
            </m:r>
          </m:e>
          <m:sub>
            <m:r>
              <m:t>1</m:t>
            </m:r>
          </m:sub>
          <m:sup>
            <m:r>
              <m:t>2</m:t>
            </m:r>
          </m:sup>
        </m:sSubSup>
      </m:oMath>
      <w:r>
        <w:t xml:space="preserve"> </w:t>
      </w:r>
      <w:r>
        <w:t xml:space="preserve">= 2.91,</w:t>
      </w:r>
      <w:r>
        <w:t xml:space="preserve"> </w:t>
      </w:r>
      <m:oMath>
        <m:r>
          <m:t>p</m:t>
        </m:r>
      </m:oMath>
      <w:r>
        <w:t xml:space="preserve"> </w:t>
      </w:r>
      <w:r>
        <w:t xml:space="preserve">&lt; 0.1). The scald showed 59% heritability at the 5% significance level (</w:t>
      </w:r>
      <m:oMath>
        <m:sSubSup>
          <m:e>
            <m:r>
              <m:t>h</m:t>
            </m:r>
          </m:e>
          <m:sub>
            <m:r>
              <m:rPr>
                <m:nor/>
                <m:sty m:val="p"/>
              </m:rPr>
              <m:t>SNP</m:t>
            </m:r>
          </m:sub>
          <m:sup>
            <m:r>
              <m:t>2</m:t>
            </m:r>
          </m:sup>
        </m:sSubSup>
      </m:oMath>
      <w:r>
        <w:t xml:space="preserve"> </w:t>
      </w:r>
      <w:r>
        <w:t xml:space="preserve">= 0.591,</w:t>
      </w:r>
      <w:r>
        <w:t xml:space="preserve"> </w:t>
      </w:r>
      <m:oMath>
        <m:sSubSup>
          <m:e>
            <m:r>
              <m:t>χ</m:t>
            </m:r>
          </m:e>
          <m:sub>
            <m:r>
              <m:t>1</m:t>
            </m:r>
          </m:sub>
          <m:sup>
            <m:r>
              <m:t>2</m:t>
            </m:r>
          </m:sup>
        </m:sSubSup>
      </m:oMath>
      <w:r>
        <w:t xml:space="preserve"> </w:t>
      </w:r>
      <w:r>
        <w:t xml:space="preserve">= 14.3,</w:t>
      </w:r>
      <w:r>
        <w:t xml:space="preserve"> </w:t>
      </w:r>
      <m:oMath>
        <m:r>
          <m:t>p</m:t>
        </m:r>
      </m:oMath>
      <w:r>
        <w:t xml:space="preserve"> </w:t>
      </w:r>
      <w:r>
        <w:t xml:space="preserve">&lt; 0.001). These SNP-based metrics of narrow-sense heritability were lower than the broad-sense heritability described above, but this was also the case for previous studies on barley diseases</w:t>
      </w:r>
      <w:r>
        <w:t xml:space="preserve"> </w:t>
      </w:r>
      <w:r>
        <w:t xml:space="preserve">(Zerihun</w:t>
      </w:r>
      <w:r>
        <w:t xml:space="preserve"> </w:t>
      </w:r>
      <w:r>
        <w:rPr>
          <w:iCs/>
          <w:i/>
        </w:rPr>
        <w:t xml:space="preserve">et al.</w:t>
      </w:r>
      <w:r>
        <w:t xml:space="preserve"> </w:t>
      </w:r>
      <w:r>
        <w:t xml:space="preserve">2019; Kunze</w:t>
      </w:r>
      <w:r>
        <w:t xml:space="preserve"> </w:t>
      </w:r>
      <w:r>
        <w:rPr>
          <w:iCs/>
          <w:i/>
        </w:rPr>
        <w:t xml:space="preserve">et al.</w:t>
      </w:r>
      <w:r>
        <w:t xml:space="preserve"> </w:t>
      </w:r>
      <w:r>
        <w:t xml:space="preserve">2024)</w:t>
      </w:r>
      <w:r>
        <w:t xml:space="preserve">. These results confirmed that our SNP-based analysis was able to detect heritable variation in the three disease phenotypes.</w:t>
      </w:r>
    </w:p>
    <w:p>
      <w:pPr>
        <w:pStyle w:val="BodyText"/>
      </w:pPr>
      <w:r>
        <w:t xml:space="preserve">More remarkably, we found significant contributions of neighbor genotypes to all the three disease phenotypes (red bars in Fig. 3A-C; likelihood ratio test</w:t>
      </w:r>
      <w:r>
        <w:t xml:space="preserve"> </w:t>
      </w:r>
      <m:oMath>
        <m:r>
          <m:t>p</m:t>
        </m:r>
      </m:oMath>
      <w:r>
        <w:t xml:space="preserve"> </w:t>
      </w:r>
      <w:r>
        <w:t xml:space="preserve">&lt; 0.05 see Table S2 for exact test statistics and</w:t>
      </w:r>
      <w:r>
        <w:t xml:space="preserve"> </w:t>
      </w:r>
      <m:oMath>
        <m:r>
          <m:t>p</m:t>
        </m:r>
      </m:oMath>
      <w:r>
        <w:t xml:space="preserve">-values). Specifically, the influence of neighbor genotypes on the net form net blotch was significant (</w:t>
      </w:r>
      <m:oMath>
        <m:r>
          <m:t>p</m:t>
        </m:r>
      </m:oMath>
      <w:r>
        <w:t xml:space="preserve"> </w:t>
      </w:r>
      <w:r>
        <w:t xml:space="preserve">&lt; 0.05) up to the second nearest neighbors and remained marginally significant (</w:t>
      </w:r>
      <m:oMath>
        <m:r>
          <m:t>p</m:t>
        </m:r>
      </m:oMath>
      <w:r>
        <w:t xml:space="preserve"> </w:t>
      </w:r>
      <w:r>
        <w:t xml:space="preserve">&lt; 0.1 and</w:t>
      </w:r>
      <w:r>
        <w:t xml:space="preserve"> </w:t>
      </w:r>
      <m:oMath>
        <m:r>
          <m:t>p</m:t>
        </m:r>
      </m:oMath>
      <w:r>
        <w:t xml:space="preserve"> </w:t>
      </w:r>
      <w:r>
        <w:t xml:space="preserve">&gt; 0.05) up to the fourth nearest neighbors (Fig. 3A and Table S2A). The spot form net blotch was significantly influenced by the first and second nearest neighbors, though this influence became non-significant for the distant neighbors (Fig. 2B and Table S2B). The scald damage showed the most significant patterns among the three disease phenotypes, such that the influence of neighboring genotypes remained significant across a space (Fig. 2C and Table S2C). These significant contributions of neighbor genotypes to the three disease phenotypes explained 9 to 30% of total phenotypic variation (red bars in Fig. 2). The similar patterns were found even when the cut-off value of MAF was changed to 0.05 (Table S3A-C). These variance component analyses showed that a significant fraction of damage variation was attributable to neighbor genotypic identity, which led us to further ask whether major-effect SNPs accounted for this damage variation.</w:t>
      </w:r>
    </w:p>
    <w:bookmarkEnd w:id="34"/>
    <w:bookmarkStart w:id="35" w:name="genome-wide-association-study"/>
    <w:p>
      <w:pPr>
        <w:pStyle w:val="Heading2"/>
      </w:pPr>
      <w:r>
        <w:t xml:space="preserve">Genome-wide association study</w:t>
      </w:r>
    </w:p>
    <w:p>
      <w:pPr>
        <w:pStyle w:val="FirstParagraph"/>
      </w:pPr>
      <w:r>
        <w:t xml:space="preserve">Lastly, we used Neighbor GWAS to detect loci associated with neighbor genotypic effects on the three phenotypes of disease infection at the spatial scales from the first to the fourth nearest neighbors.</w:t>
      </w:r>
      <w:r>
        <w:t xml:space="preserve"> </w:t>
      </w:r>
      <w:r>
        <w:t xml:space="preserve">We detected two significant SNPs associated with neighbor genotypic effects at the spatial scale of the fourth nearest neighbors (i.e., Euclidean distance = 4 from focal individuals). One of these two significant SNPs was detected for the net form net blotch and another was for scald (Fig. 3B, C, D). The significant SNP of neighbor genotypic effects on the net form net blotch was located on the tip of 7H chromosome (Chr7H at 610368438: Fig. 3B). This significant SNP exhibited a positive sign of neighbor effect coefficient (</w:t>
      </w:r>
      <m:oMath>
        <m:sSub>
          <m:e>
            <m:r>
              <m:t>β</m:t>
            </m:r>
          </m:e>
          <m:sub>
            <m:r>
              <m:t>2</m:t>
            </m:r>
          </m:sub>
        </m:sSub>
      </m:oMath>
      <w:r>
        <w:t xml:space="preserve"> </w:t>
      </w:r>
      <w:r>
        <w:t xml:space="preserve">= 2.77, MAF = 0.109, raw</w:t>
      </w:r>
      <w:r>
        <w:t xml:space="preserve"> </w:t>
      </w:r>
      <m:oMath>
        <m:r>
          <m:t>p</m:t>
        </m:r>
      </m:oMath>
      <w:r>
        <w:t xml:space="preserve">-value = 4.66e-07), indicating that this SNP had positive allelic interactions to prevent the disease spread among neighboring plots. Another significant SNP detected for scald was assigned as an un-anchored chromosome (Fig. 3F): thus, its QTL position remains unknown. In addition to the two significant SNPs, a marginally significant SNP for the scald damage was found on the 7H chromosome (chr7H at 581517810: Fig. 3F). This SNP had a positive sign of neighbor effect coefficient (</w:t>
      </w:r>
      <m:oMath>
        <m:sSub>
          <m:e>
            <m:r>
              <m:t>β</m:t>
            </m:r>
          </m:e>
          <m:sub>
            <m:r>
              <m:t>2</m:t>
            </m:r>
          </m:sub>
        </m:sSub>
      </m:oMath>
      <w:r>
        <w:t xml:space="preserve"> </w:t>
      </w:r>
      <w:r>
        <w:t xml:space="preserve">= 3.24, MAF = 0.098, raw</w:t>
      </w:r>
      <w:r>
        <w:t xml:space="preserve"> </w:t>
      </w:r>
      <m:oMath>
        <m:r>
          <m:t>p</m:t>
        </m:r>
      </m:oMath>
      <w:r>
        <w:t xml:space="preserve">-value = 4.19e-06, Bonferroni-corrected</w:t>
      </w:r>
      <w:r>
        <w:t xml:space="preserve"> </w:t>
      </w:r>
      <m:oMath>
        <m:r>
          <m:t>p</m:t>
        </m:r>
      </m:oMath>
      <w:r>
        <w:t xml:space="preserve">-value = 0.086) and thus indicated positive allelic interactions at this locus to prevent the disease spread among neighboring plots. These findings suggest the potential existence of QTLs responsible for positive genotype-genotype interactions that mitigate disease spreads through long-range neighbor effects. We also conducted standard GWAS but did not find any significant SNPs for the present data on the three diseases (</w:t>
      </w:r>
      <m:oMath>
        <m:r>
          <m:t>p</m:t>
        </m:r>
      </m:oMath>
      <w:r>
        <w:t xml:space="preserve"> </w:t>
      </w:r>
      <w:r>
        <w:t xml:space="preserve">&gt; 0.1 after Bonferroni correction: Fig. 3A-C).</w:t>
      </w:r>
    </w:p>
    <w:bookmarkEnd w:id="35"/>
    <w:bookmarkEnd w:id="36"/>
    <w:bookmarkStart w:id="40" w:name="discussion"/>
    <w:p>
      <w:pPr>
        <w:pStyle w:val="Heading1"/>
      </w:pPr>
      <w:r>
        <w:t xml:space="preserve">Discussion</w:t>
      </w:r>
    </w:p>
    <w:p>
      <w:pPr>
        <w:pStyle w:val="FirstParagraph"/>
      </w:pPr>
      <w:r>
        <w:t xml:space="preserve">Our analysis revealed that substantial fractions of spatial heterogeneity were attributable to neighbor genotypes in barley diseases. Similarly, studies on indirect genetic effects reported the influence of neighboring genotypes on the other individuals’ phenotypes in</w:t>
      </w:r>
      <w:r>
        <w:t xml:space="preserve"> </w:t>
      </w:r>
      <w:r>
        <w:rPr>
          <w:iCs/>
          <w:i/>
        </w:rPr>
        <w:t xml:space="preserve">Arabidopsis thaliana</w:t>
      </w:r>
      <w:r>
        <w:t xml:space="preserve"> </w:t>
      </w:r>
      <w:r>
        <w:t xml:space="preserve">(Montazeaud</w:t>
      </w:r>
      <w:r>
        <w:t xml:space="preserve"> </w:t>
      </w:r>
      <w:r>
        <w:rPr>
          <w:iCs/>
          <w:i/>
        </w:rPr>
        <w:t xml:space="preserve">et al.</w:t>
      </w:r>
      <w:r>
        <w:t xml:space="preserve"> </w:t>
      </w:r>
      <w:r>
        <w:t xml:space="preserve">2023)</w:t>
      </w:r>
      <w:r>
        <w:t xml:space="preserve">,</w:t>
      </w:r>
      <w:r>
        <w:t xml:space="preserve"> </w:t>
      </w:r>
      <w:r>
        <w:rPr>
          <w:iCs/>
          <w:i/>
        </w:rPr>
        <w:t xml:space="preserve">Eucalyptus globulus</w:t>
      </w:r>
      <w:r>
        <w:t xml:space="preserve"> </w:t>
      </w:r>
      <w:r>
        <w:t xml:space="preserve">(Silva</w:t>
      </w:r>
      <w:r>
        <w:t xml:space="preserve"> </w:t>
      </w:r>
      <w:r>
        <w:rPr>
          <w:iCs/>
          <w:i/>
        </w:rPr>
        <w:t xml:space="preserve">et al.</w:t>
      </w:r>
      <w:r>
        <w:t xml:space="preserve"> </w:t>
      </w:r>
      <w:r>
        <w:t xml:space="preserve">2013; Costa e Silva and Kerr 2013; Costa e Silva</w:t>
      </w:r>
      <w:r>
        <w:t xml:space="preserve"> </w:t>
      </w:r>
      <w:r>
        <w:rPr>
          <w:iCs/>
          <w:i/>
        </w:rPr>
        <w:t xml:space="preserve">et al.</w:t>
      </w:r>
      <w:r>
        <w:t xml:space="preserve"> </w:t>
      </w:r>
      <w:r>
        <w:t xml:space="preserve">2017)</w:t>
      </w:r>
      <w:r>
        <w:t xml:space="preserve">, and durum wheat</w:t>
      </w:r>
      <w:r>
        <w:t xml:space="preserve"> </w:t>
      </w:r>
      <w:r>
        <w:rPr>
          <w:iCs/>
          <w:i/>
        </w:rPr>
        <w:t xml:space="preserve">Triticum turgidum</w:t>
      </w:r>
      <w:r>
        <w:t xml:space="preserve"> </w:t>
      </w:r>
      <w:r>
        <w:t xml:space="preserve">ssp.</w:t>
      </w:r>
      <w:r>
        <w:t xml:space="preserve"> </w:t>
      </w:r>
      <w:r>
        <w:rPr>
          <w:iCs/>
          <w:i/>
        </w:rPr>
        <w:t xml:space="preserve">durum</w:t>
      </w:r>
      <w:r>
        <w:t xml:space="preserve"> </w:t>
      </w:r>
      <w:r>
        <w:t xml:space="preserve">(Montazeaud</w:t>
      </w:r>
      <w:r>
        <w:t xml:space="preserve"> </w:t>
      </w:r>
      <w:r>
        <w:rPr>
          <w:iCs/>
          <w:i/>
        </w:rPr>
        <w:t xml:space="preserve">et al.</w:t>
      </w:r>
      <w:r>
        <w:t xml:space="preserve"> </w:t>
      </w:r>
      <w:r>
        <w:t xml:space="preserve">2022)</w:t>
      </w:r>
      <w:r>
        <w:t xml:space="preserve">. While these previous studies also quantified the phenotypic variation attributable to neighboring genotypes, few have identified genetic variants associated with those effects. In this context, our Neighbor GWAS analysis detected a significant SNP associated with neighbor genotypic effects on the net blotch damage. This is the first report for Neighbor GWAS to detect a significant QTL and, to our knowledge, one of few reports on significant QTLs associated with neighbor genotypic effects on agriculturally important traits</w:t>
      </w:r>
      <w:r>
        <w:t xml:space="preserve"> </w:t>
      </w:r>
      <w:r>
        <w:t xml:space="preserve">(Montazeaud</w:t>
      </w:r>
      <w:r>
        <w:t xml:space="preserve"> </w:t>
      </w:r>
      <w:r>
        <w:rPr>
          <w:iCs/>
          <w:i/>
        </w:rPr>
        <w:t xml:space="preserve">et al.</w:t>
      </w:r>
      <w:r>
        <w:t xml:space="preserve"> </w:t>
      </w:r>
      <w:r>
        <w:t xml:space="preserve">2022)</w:t>
      </w:r>
      <w:r>
        <w:t xml:space="preserve">.</w:t>
      </w:r>
    </w:p>
    <w:bookmarkStart w:id="37" w:name="genetic-architecture-of-neighbor-effects"/>
    <w:p>
      <w:pPr>
        <w:pStyle w:val="Heading2"/>
      </w:pPr>
      <w:r>
        <w:t xml:space="preserve">Genetic architecture of neighbor effects</w:t>
      </w:r>
    </w:p>
    <w:p>
      <w:pPr>
        <w:pStyle w:val="FirstParagraph"/>
      </w:pPr>
      <w:r>
        <w:t xml:space="preserve">Through marker-trait associations, GWAS can provide correlative evidence for candidate genes near significant SNPs</w:t>
      </w:r>
      <w:r>
        <w:t xml:space="preserve"> </w:t>
      </w:r>
      <w:r>
        <w:t xml:space="preserve">(Korte and Farlow 2013; Tibbs Cortes</w:t>
      </w:r>
      <w:r>
        <w:t xml:space="preserve"> </w:t>
      </w:r>
      <w:r>
        <w:rPr>
          <w:iCs/>
          <w:i/>
        </w:rPr>
        <w:t xml:space="preserve">et al.</w:t>
      </w:r>
      <w:r>
        <w:t xml:space="preserve"> </w:t>
      </w:r>
      <w:r>
        <w:t xml:space="preserve">2021)</w:t>
      </w:r>
      <w:r>
        <w:t xml:space="preserve">. On the tip of chromosome 7H, we specifically found a significant SNP at 610368438 for the net form net blotch; and a marginally significant SNP at 581517810 for scald. Within 30 kb near the 610368438 position, we did find the two loci HORVU.MOREX.r3.7HG0742860 and HORVU.MOREX.r3.7HG0742870 which encoded protein kinases. Another SNP at 581517810 was located within 30 kb near the loci HORVU.MOREX.r3.7HG0731740, HORVU.MOREX.r3.7HG0731730, and HORVU.MOREX.r3.7HG0731700 which encoded a SCO1-like protein, lipid transfer protein, and transducin/WD40 repeat protein, respectively. Among them, protein kinases and WD40 repeat proteins are known to involve various abiotic and biotic resistance in barley or wheat</w:t>
      </w:r>
      <w:r>
        <w:t xml:space="preserve"> </w:t>
      </w:r>
      <w:r>
        <w:t xml:space="preserve">(Ruiz-Roldán</w:t>
      </w:r>
      <w:r>
        <w:t xml:space="preserve"> </w:t>
      </w:r>
      <w:r>
        <w:rPr>
          <w:iCs/>
          <w:i/>
        </w:rPr>
        <w:t xml:space="preserve">et al.</w:t>
      </w:r>
      <w:r>
        <w:t xml:space="preserve"> </w:t>
      </w:r>
      <w:r>
        <w:t xml:space="preserve">2001; Kong</w:t>
      </w:r>
      <w:r>
        <w:t xml:space="preserve"> </w:t>
      </w:r>
      <w:r>
        <w:rPr>
          <w:iCs/>
          <w:i/>
        </w:rPr>
        <w:t xml:space="preserve">et al.</w:t>
      </w:r>
      <w:r>
        <w:t xml:space="preserve"> </w:t>
      </w:r>
      <w:r>
        <w:t xml:space="preserve">2015; Liu</w:t>
      </w:r>
      <w:r>
        <w:t xml:space="preserve"> </w:t>
      </w:r>
      <w:r>
        <w:rPr>
          <w:iCs/>
          <w:i/>
        </w:rPr>
        <w:t xml:space="preserve">et al.</w:t>
      </w:r>
      <w:r>
        <w:t xml:space="preserve"> </w:t>
      </w:r>
      <w:r>
        <w:t xml:space="preserve">2019; Yan</w:t>
      </w:r>
      <w:r>
        <w:t xml:space="preserve"> </w:t>
      </w:r>
      <w:r>
        <w:rPr>
          <w:iCs/>
          <w:i/>
        </w:rPr>
        <w:t xml:space="preserve">et al.</w:t>
      </w:r>
      <w:r>
        <w:t xml:space="preserve"> </w:t>
      </w:r>
      <w:r>
        <w:t xml:space="preserve">2023)</w:t>
      </w:r>
      <w:r>
        <w:t xml:space="preserve">. Although such gene functions need to be validated, these candidate genes add functional inference to the long-distance neighbor genotypic effects on disease infection.</w:t>
      </w:r>
    </w:p>
    <w:p>
      <w:pPr>
        <w:pStyle w:val="BodyText"/>
      </w:pPr>
      <w:r>
        <w:t xml:space="preserve">Besides candidate genes, previous studies reported several disease-associated QTLs for the tip of chromosome 7H</w:t>
      </w:r>
      <w:r>
        <w:t xml:space="preserve"> </w:t>
      </w:r>
      <w:r>
        <w:t xml:space="preserve">(Tamang</w:t>
      </w:r>
      <w:r>
        <w:t xml:space="preserve"> </w:t>
      </w:r>
      <w:r>
        <w:rPr>
          <w:iCs/>
          <w:i/>
        </w:rPr>
        <w:t xml:space="preserve">et al.</w:t>
      </w:r>
      <w:r>
        <w:t xml:space="preserve"> </w:t>
      </w:r>
      <w:r>
        <w:t xml:space="preserve">2015; Richards</w:t>
      </w:r>
      <w:r>
        <w:t xml:space="preserve"> </w:t>
      </w:r>
      <w:r>
        <w:rPr>
          <w:iCs/>
          <w:i/>
        </w:rPr>
        <w:t xml:space="preserve">et al.</w:t>
      </w:r>
      <w:r>
        <w:t xml:space="preserve"> </w:t>
      </w:r>
      <w:r>
        <w:t xml:space="preserve">2017; Novakazi</w:t>
      </w:r>
      <w:r>
        <w:t xml:space="preserve"> </w:t>
      </w:r>
      <w:r>
        <w:rPr>
          <w:iCs/>
          <w:i/>
        </w:rPr>
        <w:t xml:space="preserve">et al.</w:t>
      </w:r>
      <w:r>
        <w:t xml:space="preserve"> </w:t>
      </w:r>
      <w:r>
        <w:t xml:space="preserve">2019; Clare</w:t>
      </w:r>
      <w:r>
        <w:t xml:space="preserve"> </w:t>
      </w:r>
      <w:r>
        <w:rPr>
          <w:iCs/>
          <w:i/>
        </w:rPr>
        <w:t xml:space="preserve">et al.</w:t>
      </w:r>
      <w:r>
        <w:t xml:space="preserve"> </w:t>
      </w:r>
      <w:r>
        <w:t xml:space="preserve">2020)</w:t>
      </w:r>
      <w:r>
        <w:t xml:space="preserve"> </w:t>
      </w:r>
      <w:r>
        <w:t xml:space="preserve">around the 581517810 and 610368438 bp positions. While our normal GWAS did not find any significant SNPs on previously reported QTLs, those overlapped QTLs suggest their dual roles in plants’ own and neighbor genotypic effects on disease resistance. For example,</w:t>
      </w:r>
      <w:r>
        <w:t xml:space="preserve"> </w:t>
      </w:r>
      <w:r>
        <w:t xml:space="preserve">Tamang</w:t>
      </w:r>
      <w:r>
        <w:t xml:space="preserve"> </w:t>
      </w:r>
      <w:r>
        <w:rPr>
          <w:iCs/>
          <w:i/>
        </w:rPr>
        <w:t xml:space="preserve">et al.</w:t>
      </w:r>
      <w:r>
        <w:t xml:space="preserve"> </w:t>
      </w:r>
      <w:r>
        <w:t xml:space="preserve">(2015)</w:t>
      </w:r>
      <w:r>
        <w:t xml:space="preserve"> </w:t>
      </w:r>
      <w:r>
        <w:t xml:space="preserve">performed GWAS using 2062 barley accessions and identified a novel QTL associated with the damage by the New Zealand strain, NZKF2, of the spot form net blotch. This QTL region ranged from 601275881 to 615403763 at chromosome 7H</w:t>
      </w:r>
      <w:r>
        <w:t xml:space="preserve"> </w:t>
      </w:r>
      <w:r>
        <w:t xml:space="preserve">(Tamang</w:t>
      </w:r>
      <w:r>
        <w:t xml:space="preserve"> </w:t>
      </w:r>
      <w:r>
        <w:rPr>
          <w:iCs/>
          <w:i/>
        </w:rPr>
        <w:t xml:space="preserve">et al.</w:t>
      </w:r>
      <w:r>
        <w:t xml:space="preserve"> </w:t>
      </w:r>
      <w:r>
        <w:t xml:space="preserve">2015)</w:t>
      </w:r>
      <w:r>
        <w:t xml:space="preserve">, including the SNP position of 610368438 for which we found long-range neighbor genotypic effects on the net form net blotch. Another QTL reported by</w:t>
      </w:r>
      <w:r>
        <w:t xml:space="preserve"> </w:t>
      </w:r>
      <w:r>
        <w:t xml:space="preserve">Tamang</w:t>
      </w:r>
      <w:r>
        <w:t xml:space="preserve"> </w:t>
      </w:r>
      <w:r>
        <w:rPr>
          <w:iCs/>
          <w:i/>
        </w:rPr>
        <w:t xml:space="preserve">et al.</w:t>
      </w:r>
      <w:r>
        <w:t xml:space="preserve"> </w:t>
      </w:r>
      <w:r>
        <w:t xml:space="preserve">(2015)</w:t>
      </w:r>
      <w:r>
        <w:t xml:space="preserve"> </w:t>
      </w:r>
      <w:r>
        <w:t xml:space="preserve">ranged from 579216453 to 601275986 on chromosome 7H, encompassing the marginally significant SNP at 581517810 for which we found long-range neighbor genotypic effects on the scald. These QTLs may be a clue to design variety mixtures to prevent disease spread by optimizing genotype-genotype interactions.</w:t>
      </w:r>
    </w:p>
    <w:p>
      <w:pPr>
        <w:pStyle w:val="BodyText"/>
      </w:pPr>
      <w:r>
        <w:t xml:space="preserve">The influence of neighboring genotypes on another plant’s infection could occur through dispersal from one plot to another. All the three fungal agents</w:t>
      </w:r>
      <w:r>
        <w:t xml:space="preserve"> </w:t>
      </w:r>
      <w:r>
        <w:rPr>
          <w:iCs/>
          <w:i/>
        </w:rPr>
        <w:t xml:space="preserve">P. teres</w:t>
      </w:r>
      <w:r>
        <w:t xml:space="preserve"> </w:t>
      </w:r>
      <w:r>
        <w:t xml:space="preserve">f. </w:t>
      </w:r>
      <w:r>
        <w:rPr>
          <w:iCs/>
          <w:i/>
        </w:rPr>
        <w:t xml:space="preserve">teres</w:t>
      </w:r>
      <w:r>
        <w:t xml:space="preserve">,</w:t>
      </w:r>
      <w:r>
        <w:t xml:space="preserve"> </w:t>
      </w:r>
      <w:r>
        <w:rPr>
          <w:iCs/>
          <w:i/>
        </w:rPr>
        <w:t xml:space="preserve">P. teres</w:t>
      </w:r>
      <w:r>
        <w:t xml:space="preserve"> </w:t>
      </w:r>
      <w:r>
        <w:t xml:space="preserve">f. </w:t>
      </w:r>
      <w:r>
        <w:rPr>
          <w:iCs/>
          <w:i/>
        </w:rPr>
        <w:t xml:space="preserve">maculata</w:t>
      </w:r>
      <w:r>
        <w:t xml:space="preserve">, and</w:t>
      </w:r>
      <w:r>
        <w:t xml:space="preserve"> </w:t>
      </w:r>
      <w:r>
        <w:rPr>
          <w:iCs/>
          <w:i/>
        </w:rPr>
        <w:t xml:space="preserve">Rhynchosporium secalis</w:t>
      </w:r>
      <w:r>
        <w:t xml:space="preserve"> </w:t>
      </w:r>
      <w:r>
        <w:t xml:space="preserve">splash conidia by wind to cause a secondary infection of net form net blotch, spot form net blotch, and scald, respectively. We found that the magnitude of neighbor genotypic effects differed among the three diseases, which might be attributed to two possibilities. One possibility is data quantity because the least significant phenotype, spot form net blotch, has the sparsest data points in space (Fig. 1B); thus, the statistical power should be low for this phenotype. Another possibility concerns biological aspects of fungal life cycles and dispersal mode. While few studies compared infection processes between</w:t>
      </w:r>
      <w:r>
        <w:t xml:space="preserve"> </w:t>
      </w:r>
      <w:r>
        <w:rPr>
          <w:iCs/>
          <w:i/>
        </w:rPr>
        <w:t xml:space="preserve">P. teres</w:t>
      </w:r>
      <w:r>
        <w:t xml:space="preserve"> </w:t>
      </w:r>
      <w:r>
        <w:t xml:space="preserve">f. </w:t>
      </w:r>
      <w:r>
        <w:rPr>
          <w:iCs/>
          <w:i/>
        </w:rPr>
        <w:t xml:space="preserve">teres</w:t>
      </w:r>
      <w:r>
        <w:t xml:space="preserve"> </w:t>
      </w:r>
      <w:r>
        <w:t xml:space="preserve">and f. </w:t>
      </w:r>
      <w:r>
        <w:rPr>
          <w:iCs/>
          <w:i/>
        </w:rPr>
        <w:t xml:space="preserve">maculata</w:t>
      </w:r>
      <w:r>
        <w:t xml:space="preserve"> </w:t>
      </w:r>
      <w:r>
        <w:t xml:space="preserve">in detail,</w:t>
      </w:r>
      <w:r>
        <w:t xml:space="preserve"> </w:t>
      </w:r>
      <w:r>
        <w:t xml:space="preserve">Van Den Berg and Rossnagel (1990)</w:t>
      </w:r>
      <w:r>
        <w:t xml:space="preserve"> </w:t>
      </w:r>
      <w:r>
        <w:t xml:space="preserve">reported a shorter infection time by</w:t>
      </w:r>
      <w:r>
        <w:t xml:space="preserve"> </w:t>
      </w:r>
      <w:r>
        <w:rPr>
          <w:iCs/>
          <w:i/>
        </w:rPr>
        <w:t xml:space="preserve">P. teres f. maculata</w:t>
      </w:r>
      <w:r>
        <w:t xml:space="preserve"> </w:t>
      </w:r>
      <w:r>
        <w:t xml:space="preserve">than</w:t>
      </w:r>
      <w:r>
        <w:t xml:space="preserve"> </w:t>
      </w:r>
      <w:r>
        <w:rPr>
          <w:iCs/>
          <w:i/>
        </w:rPr>
        <w:t xml:space="preserve">P. teres f. teres</w:t>
      </w:r>
      <w:r>
        <w:t xml:space="preserve"> </w:t>
      </w:r>
      <w:r>
        <w:t xml:space="preserve">on barley. Such differences in the speed of fungal development might differentiate the influence of neighboring genotypes on disease infection.</w:t>
      </w:r>
    </w:p>
    <w:bookmarkEnd w:id="37"/>
    <w:bookmarkStart w:id="38" w:name="applicability-and-limitation"/>
    <w:p>
      <w:pPr>
        <w:pStyle w:val="Heading2"/>
      </w:pPr>
      <w:r>
        <w:t xml:space="preserve">Applicability and limitation</w:t>
      </w:r>
    </w:p>
    <w:p>
      <w:pPr>
        <w:pStyle w:val="FirstParagraph"/>
      </w:pPr>
      <w:r>
        <w:t xml:space="preserve">In order to infer neighboring genotype-genotype interactions, our analysis showed the effective use of open data collected from a randomized block design of many plant genotypes. As the randomized block design is often employed to conduct GWAS</w:t>
      </w:r>
      <w:r>
        <w:t xml:space="preserve"> </w:t>
      </w:r>
      <w:r>
        <w:t xml:space="preserve">(Cui</w:t>
      </w:r>
      <w:r>
        <w:t xml:space="preserve"> </w:t>
      </w:r>
      <w:r>
        <w:rPr>
          <w:iCs/>
          <w:i/>
        </w:rPr>
        <w:t xml:space="preserve">et al.</w:t>
      </w:r>
      <w:r>
        <w:t xml:space="preserve"> </w:t>
      </w:r>
      <w:r>
        <w:t xml:space="preserve">2016; Sato</w:t>
      </w:r>
      <w:r>
        <w:t xml:space="preserve"> </w:t>
      </w:r>
      <w:r>
        <w:rPr>
          <w:iCs/>
          <w:i/>
        </w:rPr>
        <w:t xml:space="preserve">et al.</w:t>
      </w:r>
      <w:r>
        <w:t xml:space="preserve"> </w:t>
      </w:r>
      <w:r>
        <w:t xml:space="preserve">2024; Behera</w:t>
      </w:r>
      <w:r>
        <w:t xml:space="preserve"> </w:t>
      </w:r>
      <w:r>
        <w:rPr>
          <w:iCs/>
          <w:i/>
        </w:rPr>
        <w:t xml:space="preserve">et al.</w:t>
      </w:r>
      <w:r>
        <w:t xml:space="preserve"> </w:t>
      </w:r>
      <w:r>
        <w:t xml:space="preserve">2024)</w:t>
      </w:r>
      <w:r>
        <w:t xml:space="preserve">, there should be other available data on various plant species. In this context, Neighbor GWAS does not require manipulative experiments and thus widens the opportunity to study the genetic architecture of plant-plant interactions using open data</w:t>
      </w:r>
      <w:r>
        <w:t xml:space="preserve"> </w:t>
      </w:r>
      <w:r>
        <w:t xml:space="preserve">(Sato and Wuest 2024)</w:t>
      </w:r>
      <w:r>
        <w:t xml:space="preserve">. Meanwhile, we should note that open data may not be always complete. For instance, detailed metadata, such as physical distance between individual plots or plants, were not found in the barley open data. This shortage of basic information could have made the interpretation of Neighbor GWAS difficult. To solve this issue, pattern-based analyses, such as a P-spline method in SpATS</w:t>
      </w:r>
      <w:r>
        <w:t xml:space="preserve"> </w:t>
      </w:r>
      <w:r>
        <w:t xml:space="preserve">(Rodríguez-Álvarez</w:t>
      </w:r>
      <w:r>
        <w:t xml:space="preserve"> </w:t>
      </w:r>
      <w:r>
        <w:rPr>
          <w:iCs/>
          <w:i/>
        </w:rPr>
        <w:t xml:space="preserve">et al.</w:t>
      </w:r>
      <w:r>
        <w:t xml:space="preserve"> </w:t>
      </w:r>
      <w:r>
        <w:t xml:space="preserve">2018)</w:t>
      </w:r>
      <w:r>
        <w:t xml:space="preserve">, were used as a complementary tool to distinguish natural and extraneous spatial variation. A joint use of pattern-based and process-based modeling would be effective for overcoming potential limitations regarding data availability.</w:t>
      </w:r>
    </w:p>
    <w:p>
      <w:pPr>
        <w:pStyle w:val="BodyText"/>
      </w:pPr>
      <w:r>
        <w:t xml:space="preserve">To separate neighbor genotypic effects from non-genetic spatial trends, we incorporated polynomials of the rows and range positions as covariates into Neighbor GWAS. Despite the inclusion of these additional covariates, we still found the influence of neighbor genotypic effects on the barley diseases. This strategy may be applicable to the other GWAS data where a number of crop genotypes are cultivated at an individual or plot level across a large field. However, it remains generally unknown how many orders should be considered for the row and range polynomials. When ruling out spatial autocorrelation as a nuisance, neighbor genotypic effects are confounded and thus difficult to separate from spatial autocorrelation</w:t>
      </w:r>
      <w:r>
        <w:t xml:space="preserve"> </w:t>
      </w:r>
      <w:r>
        <w:t xml:space="preserve">(Sato</w:t>
      </w:r>
      <w:r>
        <w:t xml:space="preserve"> </w:t>
      </w:r>
      <w:r>
        <w:rPr>
          <w:iCs/>
          <w:i/>
        </w:rPr>
        <w:t xml:space="preserve">et al.</w:t>
      </w:r>
      <w:r>
        <w:t xml:space="preserve"> </w:t>
      </w:r>
      <w:r>
        <w:t xml:space="preserve">2021a)</w:t>
      </w:r>
      <w:r>
        <w:t xml:space="preserve">. Integration of the two mixed models, SpATS and Neighbor GWAS, is challenging for GWAS implementation but needed to fully distinguish spatial autocorrelation and neighbor genotypic effects on a phenotype.</w:t>
      </w:r>
    </w:p>
    <w:bookmarkEnd w:id="38"/>
    <w:bookmarkStart w:id="39" w:name="conclusion"/>
    <w:p>
      <w:pPr>
        <w:pStyle w:val="Heading2"/>
      </w:pPr>
      <w:r>
        <w:t xml:space="preserve">Conclusion</w:t>
      </w:r>
    </w:p>
    <w:p>
      <w:pPr>
        <w:pStyle w:val="FirstParagraph"/>
      </w:pPr>
      <w:r>
        <w:t xml:space="preserve">Harnessing open data, we detected significant phenotypic variation and genetic variants associated with neighbor genotypic effects on disease infection in barley. Such neighbor genotypic effects are linked to the effects of genotype mixtures on pest damage</w:t>
      </w:r>
      <w:r>
        <w:t xml:space="preserve"> </w:t>
      </w:r>
      <w:r>
        <w:t xml:space="preserve">(Sato</w:t>
      </w:r>
      <w:r>
        <w:t xml:space="preserve"> </w:t>
      </w:r>
      <w:r>
        <w:rPr>
          <w:iCs/>
          <w:i/>
        </w:rPr>
        <w:t xml:space="preserve">et al.</w:t>
      </w:r>
      <w:r>
        <w:t xml:space="preserve"> </w:t>
      </w:r>
      <w:r>
        <w:t xml:space="preserve">2024)</w:t>
      </w:r>
      <w:r>
        <w:t xml:space="preserve">, providing a promising way for integrated pest management by mixed planting</w:t>
      </w:r>
      <w:r>
        <w:t xml:space="preserve"> </w:t>
      </w:r>
      <w:r>
        <w:t xml:space="preserve">(Mundt 2002; Tooker and Frank 2012)</w:t>
      </w:r>
      <w:r>
        <w:t xml:space="preserve">. Unlike a previous study on polygenic traits</w:t>
      </w:r>
      <w:r>
        <w:t xml:space="preserve"> </w:t>
      </w:r>
      <w:r>
        <w:t xml:space="preserve">(Sato</w:t>
      </w:r>
      <w:r>
        <w:t xml:space="preserve"> </w:t>
      </w:r>
      <w:r>
        <w:rPr>
          <w:iCs/>
          <w:i/>
        </w:rPr>
        <w:t xml:space="preserve">et al.</w:t>
      </w:r>
      <w:r>
        <w:t xml:space="preserve"> </w:t>
      </w:r>
      <w:r>
        <w:t xml:space="preserve">2024)</w:t>
      </w:r>
      <w:r>
        <w:t xml:space="preserve">, the identification of significant QTLs may enable us to optimize population-level pest damage with a few loci being targeted</w:t>
      </w:r>
      <w:r>
        <w:t xml:space="preserve"> </w:t>
      </w:r>
      <w:r>
        <w:t xml:space="preserve">(Wuest</w:t>
      </w:r>
      <w:r>
        <w:t xml:space="preserve"> </w:t>
      </w:r>
      <w:r>
        <w:rPr>
          <w:iCs/>
          <w:i/>
        </w:rPr>
        <w:t xml:space="preserve">et al.</w:t>
      </w:r>
      <w:r>
        <w:t xml:space="preserve"> </w:t>
      </w:r>
      <w:r>
        <w:t xml:space="preserve">2021; Sato and Wuest 2024)</w:t>
      </w:r>
      <w:r>
        <w:t xml:space="preserve">. For barley cultivars, we indeed detected a significant SNP that had positive effects of allelic mixture on damage, indicating potential prevention of disease spread by allelic mixtures. Beyond genotype mixture, allelic mixture is particularly suitable for crop varieties because intraspecific varieties can be subjected to breeding by crossing each other. Further studies are needed to validate these effects by comparing allelic monoculture and mixture at the candidate locus.</w:t>
      </w:r>
    </w:p>
    <w:bookmarkEnd w:id="39"/>
    <w:bookmarkEnd w:id="40"/>
    <w:bookmarkStart w:id="44" w:name="data-availability"/>
    <w:p>
      <w:pPr>
        <w:pStyle w:val="Heading1"/>
      </w:pPr>
      <w:r>
        <w:t xml:space="preserve">Data availability</w:t>
      </w:r>
    </w:p>
    <w:p>
      <w:pPr>
        <w:pStyle w:val="FirstParagraph"/>
      </w:pPr>
      <w:r>
        <w:t xml:space="preserve">All the source code and input data are available at GitHub (</w:t>
      </w:r>
      <w:hyperlink r:id="rId41">
        <w:r>
          <w:rPr>
            <w:rStyle w:val="Hyperlink"/>
          </w:rPr>
          <w:t xml:space="preserve">https://github.com/yassato/caige_barley</w:t>
        </w:r>
      </w:hyperlink>
      <w:r>
        <w:t xml:space="preserve">) and Figshare (</w:t>
      </w:r>
      <w:hyperlink r:id="rId42">
        <w:r>
          <w:rPr>
            <w:rStyle w:val="Hyperlink"/>
          </w:rPr>
          <w:t xml:space="preserve">https://doi.org/yyyy</w:t>
        </w:r>
      </w:hyperlink>
      <w:r>
        <w:t xml:space="preserve">). The full list of SNP positions and -log</w:t>
      </w:r>
      <w:r>
        <w:rPr>
          <w:vertAlign w:val="subscript"/>
        </w:rPr>
        <w:t xml:space="preserve">10</w:t>
      </w:r>
      <w:r>
        <w:t xml:space="preserve">(</w:t>
      </w:r>
      <w:r>
        <w:rPr>
          <w:iCs/>
          <w:i/>
        </w:rPr>
        <w:t xml:space="preserve">p</w:t>
      </w:r>
      <w:r>
        <w:t xml:space="preserve">) association scores is also available in these GitHub and Figshare repositories as a binary format of R language. Supplementary Figure S1 presents QQ plots for GWAS. Supplementary Table S1 shows the list of exact URLs for the original input data.</w:t>
      </w:r>
      <w:r>
        <w:t xml:space="preserve"> </w:t>
      </w:r>
      <w:r>
        <w:t xml:space="preserve">Supplementary Tables S2 and S3 include the exact</w:t>
      </w:r>
      <w:r>
        <w:t xml:space="preserve"> </w:t>
      </w:r>
      <m:oMath>
        <m:r>
          <m:t>p</m:t>
        </m:r>
      </m:oMath>
      <w:r>
        <w:t xml:space="preserve">-values for the likelihood ratio tests of PVE. These supplementary figures and tables are available through Figshare at</w:t>
      </w:r>
      <w:r>
        <w:t xml:space="preserve"> </w:t>
      </w:r>
      <w:hyperlink r:id="rId43">
        <w:r>
          <w:rPr>
            <w:rStyle w:val="Hyperlink"/>
          </w:rPr>
          <w:t xml:space="preserve">https://doi.org/xxxxxx</w:t>
        </w:r>
      </w:hyperlink>
      <w:r>
        <w:t xml:space="preserve">.</w:t>
      </w:r>
    </w:p>
    <w:bookmarkEnd w:id="44"/>
    <w:bookmarkStart w:id="45" w:name="acknowledgements"/>
    <w:p>
      <w:pPr>
        <w:pStyle w:val="Heading1"/>
      </w:pPr>
      <w:r>
        <w:t xml:space="preserve">Acknowledgements</w:t>
      </w:r>
    </w:p>
    <w:p>
      <w:pPr>
        <w:pStyle w:val="FirstParagraph"/>
      </w:pPr>
      <w:r>
        <w:t xml:space="preserve">The authors appreciate all efforts made by the data collectors of the CAIGE project. Thanks are also given to Lukas Rohr, a former master student at the University of Zurich, for pilot analyses during the initial stage.</w:t>
      </w:r>
    </w:p>
    <w:bookmarkEnd w:id="45"/>
    <w:bookmarkStart w:id="46" w:name="funding"/>
    <w:p>
      <w:pPr>
        <w:pStyle w:val="Heading1"/>
      </w:pPr>
      <w:r>
        <w:t xml:space="preserve">Funding</w:t>
      </w:r>
    </w:p>
    <w:p>
      <w:pPr>
        <w:pStyle w:val="FirstParagraph"/>
      </w:pPr>
      <w:r>
        <w:t xml:space="preserve">This study was supported by the Japan Science and Technology Agency (JST) FOREST program (grant no. JPMJFR233L to YS); Swiss National Science Foundation (SNSF) Spark program (CRSK-3_221418 to YS); and JST SPRING program (JPMJSP2119 to IA through Hokkaido University EXEX fellowships). The authors declare that there is no conflict of interest in this study.</w:t>
      </w:r>
    </w:p>
    <w:bookmarkEnd w:id="46"/>
    <w:bookmarkStart w:id="47" w:name="conflicts-of-interest"/>
    <w:p>
      <w:pPr>
        <w:pStyle w:val="Heading1"/>
      </w:pPr>
      <w:r>
        <w:t xml:space="preserve">Conflicts of interest</w:t>
      </w:r>
    </w:p>
    <w:p>
      <w:pPr>
        <w:pStyle w:val="FirstParagraph"/>
      </w:pPr>
      <w:r>
        <w:t xml:space="preserve">The authors declare no conflicts of interest.</w:t>
      </w:r>
    </w:p>
    <w:bookmarkEnd w:id="47"/>
    <w:bookmarkStart w:id="57" w:name="figures"/>
    <w:p>
      <w:pPr>
        <w:pStyle w:val="Heading1"/>
      </w:pPr>
      <w:r>
        <w:t xml:space="preserve">Figures</w:t>
      </w:r>
    </w:p>
    <w:p>
      <w:pPr>
        <w:pStyle w:val="CaptionedFigure"/>
      </w:pPr>
      <w:r>
        <w:drawing>
          <wp:inline>
            <wp:extent cx="5334000" cy="1679222"/>
            <wp:effectExtent b="0" l="0" r="0" t="0"/>
            <wp:docPr descr="Figure 1. Sample variograms for visualization of spatial heterogeneity for the net form net blotch (A), spot form net blotch (B), and scald (C). The X-axis represents the row displacement; the Y-axis represents the column displacement and the Z-axis represents the residual displacement of disease severity between a pair of spatial positions (see Gilmour et al. 1997). The color gradient reflects disease severity levels where the blue indicates low, green indicates moderate, and yellow indicates high severity." title="" id="49" name="Picture"/>
            <a:graphic>
              <a:graphicData uri="http://schemas.openxmlformats.org/drawingml/2006/picture">
                <pic:pic>
                  <pic:nvPicPr>
                    <pic:cNvPr descr="../figures/Spats_fig.pdf" id="50" name="Picture"/>
                    <pic:cNvPicPr>
                      <a:picLocks noChangeArrowheads="1" noChangeAspect="1"/>
                    </pic:cNvPicPr>
                  </pic:nvPicPr>
                  <pic:blipFill>
                    <a:blip r:embed="rId48"/>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1. Sample variograms for visualization of spatial heterogeneity for the net form net blotch (A), spot form net blotch (B), and scald (C). The X-axis represents the row displacement; the Y-axis represents the column displacement and the Z-axis represents the residual displacement of disease severity between a pair of spatial positions</w:t>
      </w:r>
      <w:r>
        <w:t xml:space="preserve"> </w:t>
      </w:r>
      <w:r>
        <w:t xml:space="preserve">(see Gilmour</w:t>
      </w:r>
      <w:r>
        <w:t xml:space="preserve"> </w:t>
      </w:r>
      <w:r>
        <w:rPr>
          <w:iCs/>
          <w:i/>
        </w:rPr>
        <w:t xml:space="preserve">et al.</w:t>
      </w:r>
      <w:r>
        <w:t xml:space="preserve"> </w:t>
      </w:r>
      <w:r>
        <w:t xml:space="preserve">1997)</w:t>
      </w:r>
      <w:r>
        <w:t xml:space="preserve">. The color gradient reflects disease severity levels where the blue indicates low, green indicates moderate, and yellow indicates high severity.</w:t>
      </w:r>
    </w:p>
    <w:p>
      <w:pPr>
        <w:pStyle w:val="CaptionedFigure"/>
      </w:pPr>
      <w:r>
        <w:drawing>
          <wp:inline>
            <wp:extent cx="5334000" cy="1679222"/>
            <wp:effectExtent b="0" l="0" r="0" t="0"/>
            <wp:docPr descr="Figure 2. The proportion of phenotypic variation explained (PVE) by plant’s own (self) and neighbor (neighbor) genotypic effects on the three phenotypes of disease infections: (A) net form net blotch, (B) spot form net blotch, and (C) scald. PVE at the distance of zero corresponds to a conventional SNP heritability (blue). Additional fractions explained by neighbor genotypic identity (red) indicate a net contribution of neighbor genotypic effects and are shown across the distances \neq 0. Asterisks and dots indicate * p&lt;0.05; ** p&lt;0.01; ^.^ 0.05&lt;p&lt;0.1 with likelihood ratio test (see Table S2 for exact p-values). An inset of panel (B) presents a schematic explanation for the range of neighbor genotypic effects assumed in the model, which corresponds to the distances on X-axes." title="" id="52" name="Picture"/>
            <a:graphic>
              <a:graphicData uri="http://schemas.openxmlformats.org/drawingml/2006/picture">
                <pic:pic>
                  <pic:nvPicPr>
                    <pic:cNvPr descr="../figures/PVE_fig.pdf" id="53" name="Picture"/>
                    <pic:cNvPicPr>
                      <a:picLocks noChangeArrowheads="1" noChangeAspect="1"/>
                    </pic:cNvPicPr>
                  </pic:nvPicPr>
                  <pic:blipFill>
                    <a:blip r:embed="rId51"/>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2. The proportion of phenotypic variation explained (PVE) by plant’s own (self) and neighbor (neighbor) genotypic effects on the three phenotypes of disease infections: (A) net form net blotch, (B) spot form net blotch, and (C) scald. PVE at the distance of zero corresponds to a conventional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Asterisks and dots indicate *</w:t>
      </w:r>
      <w:r>
        <w:t xml:space="preserve"> </w:t>
      </w:r>
      <m:oMath>
        <m:r>
          <m:t>p</m:t>
        </m:r>
        <m:r>
          <m:rPr>
            <m:sty m:val="p"/>
          </m:rPr>
          <m:t>&lt;</m:t>
        </m:r>
        <m:r>
          <m:t>0.05</m:t>
        </m:r>
      </m:oMath>
      <w:r>
        <w:t xml:space="preserve">; **</w:t>
      </w:r>
      <w:r>
        <w:t xml:space="preserve"> </w:t>
      </w:r>
      <m:oMath>
        <m:r>
          <m:t>p</m:t>
        </m:r>
        <m:r>
          <m:rPr>
            <m:sty m:val="p"/>
          </m:rPr>
          <m:t>&lt;</m:t>
        </m:r>
        <m:r>
          <m:t>0.01</m:t>
        </m:r>
      </m:oMath>
      <w:r>
        <w:t xml:space="preserve">; ^.^</w:t>
      </w:r>
      <w:r>
        <w:t xml:space="preserve"> </w:t>
      </w:r>
      <m:oMath>
        <m:r>
          <m:t>0.05</m:t>
        </m:r>
        <m:r>
          <m:rPr>
            <m:sty m:val="p"/>
          </m:rPr>
          <m:t>&lt;</m:t>
        </m:r>
        <m:r>
          <m:t>p</m:t>
        </m:r>
        <m:r>
          <m:rPr>
            <m:sty m:val="p"/>
          </m:rPr>
          <m:t>&lt;</m:t>
        </m:r>
        <m:r>
          <m:t>0.1</m:t>
        </m:r>
      </m:oMath>
      <w:r>
        <w:t xml:space="preserve"> </w:t>
      </w:r>
      <w:r>
        <w:t xml:space="preserve">with likelihood ratio test (see Table S2 for exact</w:t>
      </w:r>
      <w:r>
        <w:t xml:space="preserve"> </w:t>
      </w:r>
      <m:oMath>
        <m:r>
          <m:t>p</m:t>
        </m:r>
      </m:oMath>
      <w:r>
        <w:t xml:space="preserve">-values). An inset of panel (B) presents a schematic explanation for the range of neighbor genotypic effects assumed in the model, which corresponds to the distances on X-axes.</w:t>
      </w:r>
    </w:p>
    <w:p>
      <w:pPr>
        <w:pStyle w:val="CaptionedFigure"/>
      </w:pPr>
      <w:r>
        <w:drawing>
          <wp:inline>
            <wp:extent cx="5334000" cy="3644900"/>
            <wp:effectExtent b="0" l="0" r="0" t="0"/>
            <wp:docPr descr="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rizontal lines indicate genome-wide Bonferroni threshold at p&lt;0.05 with MAF cut-off values at 0.01 and 0.05, respectively." title="" id="55" name="Picture"/>
            <a:graphic>
              <a:graphicData uri="http://schemas.openxmlformats.org/drawingml/2006/picture">
                <pic:pic>
                  <pic:nvPicPr>
                    <pic:cNvPr descr="../figures/barleyMan.pdf" id="56" name="Picture"/>
                    <pic:cNvPicPr>
                      <a:picLocks noChangeArrowheads="1" noChangeAspect="1"/>
                    </pic:cNvPicPr>
                  </pic:nvPicPr>
                  <pic:blipFill>
                    <a:blip r:embed="rId54"/>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horizontal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57"/>
    <w:bookmarkStart w:id="58" w:name="tables"/>
    <w:p>
      <w:pPr>
        <w:pStyle w:val="Heading1"/>
      </w:pPr>
      <w:r>
        <w:t xml:space="preserve">Tables</w:t>
      </w:r>
    </w:p>
    <w:p>
      <w:pPr>
        <w:pStyle w:val="FirstParagraph"/>
      </w:pPr>
      <w:r>
        <w:t xml:space="preserve">Table 1. Summary of curated data from the CAIGE barley disease trials</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is the number after individuals whose genotypes are unavailable (i.e., %Missing) are excluded.</w:t>
      </w:r>
    </w:p>
    <w:p>
      <w:pPr>
        <w:pStyle w:val="BodyText"/>
      </w:pPr>
      <w:r>
        <w:t xml:space="preserve">Table 2. SpATS results showing variances for plant genotypes and 2D-spatial positions (range and rows). Estimated variance is shown for each random factor and phenotype. f(Range,Row)|Range or Row indicates a smoothing factor for the range and row positions.</w:t>
      </w:r>
    </w:p>
    <w:tbl>
      <w:tblPr>
        <w:tblStyle w:val="Table"/>
        <w:tblW w:type="pct" w:w="5000"/>
        <w:tblLook w:firstRow="1" w:lastRow="0" w:firstColumn="0" w:lastColumn="0" w:noHBand="0" w:noVBand="0" w:val="0020"/>
        <w:jc w:val="start"/>
        <w:tblLayout w:type="fixed"/>
      </w:tblPr>
      <w:tblGrid>
        <w:gridCol w:w="2342"/>
        <w:gridCol w:w="2342"/>
        <w:gridCol w:w="2454"/>
        <w:gridCol w:w="780"/>
      </w:tblGrid>
      <w:tr>
        <w:trPr>
          <w:tblHeader w:val="true"/>
        </w:trPr>
        <w:tc>
          <w:tcPr/>
          <w:p>
            <w:pPr>
              <w:pStyle w:val="Compact"/>
              <w:jc w:val="left"/>
            </w:pPr>
            <w:r>
              <w:t xml:space="preserve">Factor</w:t>
            </w:r>
          </w:p>
        </w:tc>
        <w:tc>
          <w:tcPr/>
          <w:p>
            <w:pPr>
              <w:pStyle w:val="Compact"/>
              <w:jc w:val="left"/>
            </w:pPr>
            <w:r>
              <w:t xml:space="preserve">Net form net blotch</w:t>
            </w:r>
          </w:p>
        </w:tc>
        <w:tc>
          <w:tcPr/>
          <w:p>
            <w:pPr>
              <w:pStyle w:val="Compact"/>
              <w:jc w:val="left"/>
            </w:pPr>
            <w:r>
              <w:t xml:space="preserve">Spot form net blotch</w:t>
            </w:r>
          </w:p>
        </w:tc>
        <w:tc>
          <w:tcPr/>
          <w:p>
            <w:pPr>
              <w:pStyle w:val="Compact"/>
              <w:jc w:val="left"/>
            </w:pPr>
            <w:r>
              <w:t xml:space="preserve">Scald</w:t>
            </w:r>
          </w:p>
        </w:tc>
      </w:tr>
      <w:tr>
        <w:tc>
          <w:tcPr/>
          <w:p>
            <w:pPr>
              <w:pStyle w:val="Compact"/>
              <w:jc w:val="left"/>
            </w:pPr>
            <w:r>
              <w:t xml:space="preserve">Genotype</w:t>
            </w:r>
          </w:p>
        </w:tc>
        <w:tc>
          <w:tcPr/>
          <w:p>
            <w:pPr>
              <w:pStyle w:val="Compact"/>
              <w:jc w:val="left"/>
            </w:pPr>
            <w:r>
              <w:t xml:space="preserve">1.92</w:t>
            </w:r>
          </w:p>
        </w:tc>
        <w:tc>
          <w:tcPr/>
          <w:p>
            <w:pPr>
              <w:pStyle w:val="Compact"/>
              <w:jc w:val="left"/>
            </w:pPr>
            <w:r>
              <w:t xml:space="preserve">0.82</w:t>
            </w:r>
          </w:p>
        </w:tc>
        <w:tc>
          <w:tcPr/>
          <w:p>
            <w:pPr>
              <w:pStyle w:val="Compact"/>
              <w:jc w:val="left"/>
            </w:pPr>
            <w:r>
              <w:t xml:space="preserve">2.10</w:t>
            </w:r>
          </w:p>
        </w:tc>
      </w:tr>
      <w:tr>
        <w:tc>
          <w:tcPr/>
          <w:p>
            <w:pPr>
              <w:pStyle w:val="Compact"/>
              <w:jc w:val="left"/>
            </w:pPr>
            <w:r>
              <w:t xml:space="preserve">Row</w:t>
            </w:r>
          </w:p>
        </w:tc>
        <w:tc>
          <w:tcPr/>
          <w:p>
            <w:pPr>
              <w:pStyle w:val="Compact"/>
              <w:jc w:val="left"/>
            </w:pPr>
            <w:r>
              <w:t xml:space="preserve">0.02</w:t>
            </w:r>
          </w:p>
        </w:tc>
        <w:tc>
          <w:tcPr/>
          <w:p>
            <w:pPr>
              <w:pStyle w:val="Compact"/>
              <w:jc w:val="left"/>
            </w:pPr>
            <w:r>
              <w:t xml:space="preserve">0.04</w:t>
            </w:r>
          </w:p>
        </w:tc>
        <w:tc>
          <w:tcPr/>
          <w:p>
            <w:pPr>
              <w:pStyle w:val="Compact"/>
              <w:jc w:val="left"/>
            </w:pPr>
            <w:r>
              <w:t xml:space="preserve">0.02</w:t>
            </w:r>
          </w:p>
        </w:tc>
      </w:tr>
      <w:tr>
        <w:tc>
          <w:tcPr/>
          <w:p>
            <w:pPr>
              <w:pStyle w:val="Compact"/>
              <w:jc w:val="left"/>
            </w:pPr>
            <w:r>
              <w:t xml:space="preserve">Range</w:t>
            </w:r>
          </w:p>
        </w:tc>
        <w:tc>
          <w:tcPr/>
          <w:p>
            <w:pPr>
              <w:pStyle w:val="Compact"/>
              <w:jc w:val="left"/>
            </w:pPr>
            <w:r>
              <w:t xml:space="preserve">0.02</w:t>
            </w:r>
          </w:p>
        </w:tc>
        <w:tc>
          <w:tcPr/>
          <w:p>
            <w:pPr>
              <w:pStyle w:val="Compact"/>
              <w:jc w:val="left"/>
            </w:pPr>
            <w:r>
              <w:t xml:space="preserve">0.02</w:t>
            </w:r>
          </w:p>
        </w:tc>
        <w:tc>
          <w:tcPr/>
          <w:p>
            <w:pPr>
              <w:pStyle w:val="Compact"/>
              <w:jc w:val="left"/>
            </w:pPr>
            <w:r>
              <w:t xml:space="preserve">0.06</w:t>
            </w:r>
          </w:p>
        </w:tc>
      </w:tr>
      <w:tr>
        <w:tc>
          <w:tcPr/>
          <w:p>
            <w:pPr>
              <w:pStyle w:val="Compact"/>
              <w:jc w:val="left"/>
            </w:pPr>
            <w:r>
              <w:t xml:space="preserve">f(Range,Row)|Range</w:t>
            </w:r>
          </w:p>
        </w:tc>
        <w:tc>
          <w:tcPr/>
          <w:p>
            <w:pPr>
              <w:pStyle w:val="Compact"/>
              <w:jc w:val="left"/>
            </w:pPr>
            <w:r>
              <w:t xml:space="preserve">0.10</w:t>
            </w:r>
          </w:p>
        </w:tc>
        <w:tc>
          <w:tcPr/>
          <w:p>
            <w:pPr>
              <w:pStyle w:val="Compact"/>
              <w:jc w:val="left"/>
            </w:pPr>
            <w:r>
              <w:t xml:space="preserve">0.02</w:t>
            </w:r>
          </w:p>
        </w:tc>
        <w:tc>
          <w:tcPr/>
          <w:p>
            <w:pPr>
              <w:pStyle w:val="Compact"/>
              <w:jc w:val="left"/>
            </w:pPr>
            <w:r>
              <w:t xml:space="preserve">4.05</w:t>
            </w:r>
          </w:p>
        </w:tc>
      </w:tr>
      <w:tr>
        <w:tc>
          <w:tcPr/>
          <w:p>
            <w:pPr>
              <w:pStyle w:val="Compact"/>
              <w:jc w:val="left"/>
            </w:pPr>
            <w:r>
              <w:t xml:space="preserve">f(Range,Row)|Row</w:t>
            </w:r>
          </w:p>
        </w:tc>
        <w:tc>
          <w:tcPr/>
          <w:p>
            <w:pPr>
              <w:pStyle w:val="Compact"/>
              <w:jc w:val="left"/>
            </w:pPr>
            <w:r>
              <w:t xml:space="preserve">0.82</w:t>
            </w:r>
          </w:p>
        </w:tc>
        <w:tc>
          <w:tcPr/>
          <w:p>
            <w:pPr>
              <w:pStyle w:val="Compact"/>
              <w:jc w:val="left"/>
            </w:pPr>
            <w:r>
              <w:t xml:space="preserve">0.00</w:t>
            </w:r>
          </w:p>
        </w:tc>
        <w:tc>
          <w:tcPr/>
          <w:p>
            <w:pPr>
              <w:pStyle w:val="Compact"/>
              <w:jc w:val="left"/>
            </w:pPr>
            <w:r>
              <w:t xml:space="preserve">2.27</w:t>
            </w:r>
          </w:p>
        </w:tc>
      </w:tr>
      <w:tr>
        <w:tc>
          <w:tcPr/>
          <w:p>
            <w:pPr>
              <w:pStyle w:val="Compact"/>
              <w:jc w:val="left"/>
            </w:pPr>
            <w:r>
              <w:rPr>
                <w:iCs/>
                <w:i/>
              </w:rPr>
              <w:t xml:space="preserve">Residual</w:t>
            </w:r>
          </w:p>
        </w:tc>
        <w:tc>
          <w:tcPr/>
          <w:p>
            <w:pPr>
              <w:pStyle w:val="Compact"/>
              <w:jc w:val="left"/>
            </w:pPr>
            <w:r>
              <w:t xml:space="preserve">0.52</w:t>
            </w:r>
          </w:p>
        </w:tc>
        <w:tc>
          <w:tcPr/>
          <w:p>
            <w:pPr>
              <w:pStyle w:val="Compact"/>
              <w:jc w:val="left"/>
            </w:pPr>
            <w:r>
              <w:t xml:space="preserve">0.37</w:t>
            </w:r>
          </w:p>
        </w:tc>
        <w:tc>
          <w:tcPr/>
          <w:p>
            <w:pPr>
              <w:pStyle w:val="Compact"/>
              <w:jc w:val="left"/>
            </w:pPr>
            <w:r>
              <w:t xml:space="preserve">1.11</w:t>
            </w:r>
          </w:p>
        </w:tc>
      </w:tr>
    </w:tbl>
    <w:bookmarkEnd w:id="58"/>
    <w:bookmarkStart w:id="67" w:name="supplementary-materials"/>
    <w:p>
      <w:pPr>
        <w:pStyle w:val="Heading1"/>
      </w:pPr>
      <w:r>
        <w:t xml:space="preserve">Supplementary Materials</w:t>
      </w:r>
    </w:p>
    <w:p>
      <w:pPr>
        <w:pStyle w:val="CaptionedFigure"/>
      </w:pPr>
      <w:r>
        <w:drawing>
          <wp:inline>
            <wp:extent cx="5334000" cy="3921477"/>
            <wp:effectExtent b="0" l="0" r="0" t="0"/>
            <wp:docPr descr="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title="" id="60" name="Picture"/>
            <a:graphic>
              <a:graphicData uri="http://schemas.openxmlformats.org/drawingml/2006/picture">
                <pic:pic>
                  <pic:nvPicPr>
                    <pic:cNvPr descr="../figures/barleyQQ.pdf" id="61" name="Picture"/>
                    <pic:cNvPicPr>
                      <a:picLocks noChangeArrowheads="1" noChangeAspect="1"/>
                    </pic:cNvPicPr>
                  </pic:nvPicPr>
                  <pic:blipFill>
                    <a:blip r:embed="rId59"/>
                    <a:stretch>
                      <a:fillRect/>
                    </a:stretch>
                  </pic:blipFill>
                  <pic:spPr bwMode="auto">
                    <a:xfrm>
                      <a:off x="0" y="0"/>
                      <a:ext cx="5334000" cy="3921477"/>
                    </a:xfrm>
                    <a:prstGeom prst="rect">
                      <a:avLst/>
                    </a:prstGeom>
                    <a:noFill/>
                    <a:ln w="9525">
                      <a:noFill/>
                      <a:headEnd/>
                      <a:tailEnd/>
                    </a:ln>
                  </pic:spPr>
                </pic:pic>
              </a:graphicData>
            </a:graphic>
          </wp:inline>
        </w:drawing>
      </w:r>
    </w:p>
    <w:p>
      <w:pPr>
        <w:pStyle w:val="ImageCaption"/>
      </w:pPr>
      <w:r>
        <w:t xml:space="preserve">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Pr>
          <w:vertAlign w:val="subscript"/>
        </w:rPr>
        <w:t xml:space="preserve">10</w:t>
      </w:r>
      <w:r>
        <w:t xml:space="preserve">(</w:t>
      </w:r>
      <m:oMath>
        <m:r>
          <m:t>p</m:t>
        </m:r>
      </m:oMath>
      <w:r>
        <w:t xml:space="preserve">) association scores are plotted against those of expected values. Dashed lines indicate random expectation as</w:t>
      </w:r>
      <w:r>
        <w:t xml:space="preserve"> </w:t>
      </w:r>
      <m:oMath>
        <m:r>
          <m:t>y</m:t>
        </m:r>
        <m:r>
          <m:rPr>
            <m:sty m:val="p"/>
          </m:rPr>
          <m:t>=</m:t>
        </m:r>
        <m:r>
          <m:t>x</m:t>
        </m:r>
      </m:oMath>
      <w:r>
        <w:t xml:space="preserve">.</w:t>
      </w:r>
    </w:p>
    <w:p>
      <w:pPr>
        <w:pStyle w:val="BodyText"/>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62">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63">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64">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65">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66">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2"/>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0.366</w:t>
            </w:r>
          </w:p>
        </w:tc>
        <w:tc>
          <w:tcPr/>
          <w:p>
            <w:pPr>
              <w:pStyle w:val="Compact"/>
              <w:jc w:val="left"/>
            </w:pPr>
            <w:r>
              <w:t xml:space="preserve">0.000</w:t>
            </w:r>
          </w:p>
        </w:tc>
        <w:tc>
          <w:tcPr/>
          <w:p>
            <w:pPr>
              <w:pStyle w:val="Compact"/>
              <w:jc w:val="left"/>
            </w:pPr>
            <w:r>
              <w:t xml:space="preserve">5.012</w:t>
            </w:r>
          </w:p>
        </w:tc>
        <w:tc>
          <w:tcPr/>
          <w:p>
            <w:pPr>
              <w:pStyle w:val="Compact"/>
              <w:jc w:val="left"/>
            </w:pPr>
            <w:r>
              <w:t xml:space="preserve">0.025</w:t>
            </w:r>
          </w:p>
        </w:tc>
      </w:tr>
      <w:tr>
        <w:tc>
          <w:tcPr/>
          <w:p>
            <w:pPr>
              <w:pStyle w:val="Compact"/>
              <w:jc w:val="left"/>
            </w:pPr>
            <w:r>
              <w:t xml:space="preserve">1.00</w:t>
            </w:r>
          </w:p>
        </w:tc>
        <w:tc>
          <w:tcPr/>
          <w:p>
            <w:pPr>
              <w:pStyle w:val="Compact"/>
              <w:jc w:val="left"/>
            </w:pPr>
            <w:r>
              <w:t xml:space="preserve">0.366</w:t>
            </w:r>
          </w:p>
        </w:tc>
        <w:tc>
          <w:tcPr/>
          <w:p>
            <w:pPr>
              <w:pStyle w:val="Compact"/>
              <w:jc w:val="left"/>
            </w:pPr>
            <w:r>
              <w:t xml:space="preserve">0.145</w:t>
            </w:r>
          </w:p>
        </w:tc>
        <w:tc>
          <w:tcPr/>
          <w:p>
            <w:pPr>
              <w:pStyle w:val="Compact"/>
              <w:jc w:val="left"/>
            </w:pPr>
            <w:r>
              <w:t xml:space="preserve">5.684</w:t>
            </w:r>
          </w:p>
        </w:tc>
        <w:tc>
          <w:tcPr/>
          <w:p>
            <w:pPr>
              <w:pStyle w:val="Compact"/>
              <w:jc w:val="left"/>
            </w:pPr>
            <w:r>
              <w:t xml:space="preserve">0.017</w:t>
            </w:r>
          </w:p>
        </w:tc>
      </w:tr>
      <w:tr>
        <w:tc>
          <w:tcPr/>
          <w:p>
            <w:pPr>
              <w:pStyle w:val="Compact"/>
              <w:jc w:val="left"/>
            </w:pPr>
            <w:r>
              <w:t xml:space="preserve">1.42</w:t>
            </w:r>
          </w:p>
        </w:tc>
        <w:tc>
          <w:tcPr/>
          <w:p>
            <w:pPr>
              <w:pStyle w:val="Compact"/>
              <w:jc w:val="left"/>
            </w:pPr>
            <w:r>
              <w:t xml:space="preserve">0.366</w:t>
            </w:r>
          </w:p>
        </w:tc>
        <w:tc>
          <w:tcPr/>
          <w:p>
            <w:pPr>
              <w:pStyle w:val="Compact"/>
              <w:jc w:val="left"/>
            </w:pPr>
            <w:r>
              <w:t xml:space="preserve">0.143</w:t>
            </w:r>
          </w:p>
        </w:tc>
        <w:tc>
          <w:tcPr/>
          <w:p>
            <w:pPr>
              <w:pStyle w:val="Compact"/>
              <w:jc w:val="left"/>
            </w:pPr>
            <w:r>
              <w:t xml:space="preserve">4.029</w:t>
            </w:r>
          </w:p>
        </w:tc>
        <w:tc>
          <w:tcPr/>
          <w:p>
            <w:pPr>
              <w:pStyle w:val="Compact"/>
              <w:jc w:val="left"/>
            </w:pPr>
            <w:r>
              <w:t xml:space="preserve">0.045</w:t>
            </w:r>
          </w:p>
        </w:tc>
      </w:tr>
      <w:tr>
        <w:tc>
          <w:tcPr/>
          <w:p>
            <w:pPr>
              <w:pStyle w:val="Compact"/>
              <w:jc w:val="left"/>
            </w:pPr>
            <w:r>
              <w:t xml:space="preserve">2.00</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3.741</w:t>
            </w:r>
          </w:p>
        </w:tc>
        <w:tc>
          <w:tcPr/>
          <w:p>
            <w:pPr>
              <w:pStyle w:val="Compact"/>
              <w:jc w:val="left"/>
            </w:pPr>
            <w:r>
              <w:t xml:space="preserve">0.053</w:t>
            </w:r>
          </w:p>
        </w:tc>
      </w:tr>
      <w:tr>
        <w:tc>
          <w:tcPr/>
          <w:p>
            <w:pPr>
              <w:pStyle w:val="Compact"/>
              <w:jc w:val="left"/>
            </w:pPr>
            <w:r>
              <w:t xml:space="preserve">2.84</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3.064</w:t>
            </w:r>
          </w:p>
        </w:tc>
        <w:tc>
          <w:tcPr/>
          <w:p>
            <w:pPr>
              <w:pStyle w:val="Compact"/>
              <w:jc w:val="left"/>
            </w:pPr>
            <w:r>
              <w:t xml:space="preserve">0.080</w:t>
            </w:r>
          </w:p>
        </w:tc>
      </w:tr>
      <w:tr>
        <w:tc>
          <w:tcPr/>
          <w:p>
            <w:pPr>
              <w:pStyle w:val="Compact"/>
              <w:jc w:val="left"/>
            </w:pPr>
            <w:r>
              <w:t xml:space="preserve">3.00</w:t>
            </w:r>
          </w:p>
        </w:tc>
        <w:tc>
          <w:tcPr/>
          <w:p>
            <w:pPr>
              <w:pStyle w:val="Compact"/>
              <w:jc w:val="left"/>
            </w:pPr>
            <w:r>
              <w:t xml:space="preserve">0.366</w:t>
            </w:r>
          </w:p>
        </w:tc>
        <w:tc>
          <w:tcPr/>
          <w:p>
            <w:pPr>
              <w:pStyle w:val="Compact"/>
              <w:jc w:val="left"/>
            </w:pPr>
            <w:r>
              <w:t xml:space="preserve">0.192</w:t>
            </w:r>
          </w:p>
        </w:tc>
        <w:tc>
          <w:tcPr/>
          <w:p>
            <w:pPr>
              <w:pStyle w:val="Compact"/>
              <w:jc w:val="left"/>
            </w:pPr>
            <w:r>
              <w:t xml:space="preserve">2.661</w:t>
            </w:r>
          </w:p>
        </w:tc>
        <w:tc>
          <w:tcPr/>
          <w:p>
            <w:pPr>
              <w:pStyle w:val="Compact"/>
              <w:jc w:val="left"/>
            </w:pPr>
            <w:r>
              <w:t xml:space="preserve">0.103</w:t>
            </w:r>
          </w:p>
        </w:tc>
      </w:tr>
      <w:tr>
        <w:tc>
          <w:tcPr/>
          <w:p>
            <w:pPr>
              <w:pStyle w:val="Compact"/>
              <w:jc w:val="left"/>
            </w:pPr>
            <w:r>
              <w:t xml:space="preserve">4.00</w:t>
            </w:r>
          </w:p>
        </w:tc>
        <w:tc>
          <w:tcPr/>
          <w:p>
            <w:pPr>
              <w:pStyle w:val="Compact"/>
              <w:jc w:val="left"/>
            </w:pPr>
            <w:r>
              <w:t xml:space="preserve">0.366</w:t>
            </w:r>
          </w:p>
        </w:tc>
        <w:tc>
          <w:tcPr/>
          <w:p>
            <w:pPr>
              <w:pStyle w:val="Compact"/>
              <w:jc w:val="left"/>
            </w:pPr>
            <w:r>
              <w:t xml:space="preserve">0.193</w:t>
            </w:r>
          </w:p>
        </w:tc>
        <w:tc>
          <w:tcPr/>
          <w:p>
            <w:pPr>
              <w:pStyle w:val="Compact"/>
              <w:jc w:val="left"/>
            </w:pPr>
            <w:r>
              <w:t xml:space="preserve">2.979</w:t>
            </w:r>
          </w:p>
        </w:tc>
        <w:tc>
          <w:tcPr/>
          <w:p>
            <w:pPr>
              <w:pStyle w:val="Compact"/>
              <w:jc w:val="left"/>
            </w:pPr>
            <w:r>
              <w:t xml:space="preserve">0.084</w:t>
            </w:r>
          </w:p>
        </w:tc>
      </w:tr>
      <w:tr>
        <w:tc>
          <w:tcPr/>
          <w:p>
            <w:pPr>
              <w:pStyle w:val="Compact"/>
              <w:jc w:val="left"/>
            </w:pPr>
            <w:r>
              <w:t xml:space="preserve">4.25</w:t>
            </w:r>
          </w:p>
        </w:tc>
        <w:tc>
          <w:tcPr/>
          <w:p>
            <w:pPr>
              <w:pStyle w:val="Compact"/>
              <w:jc w:val="left"/>
            </w:pPr>
            <w:r>
              <w:t xml:space="preserve">0.366</w:t>
            </w:r>
          </w:p>
        </w:tc>
        <w:tc>
          <w:tcPr/>
          <w:p>
            <w:pPr>
              <w:pStyle w:val="Compact"/>
              <w:jc w:val="left"/>
            </w:pPr>
            <w:r>
              <w:t xml:space="preserve">0.103</w:t>
            </w:r>
          </w:p>
        </w:tc>
        <w:tc>
          <w:tcPr/>
          <w:p>
            <w:pPr>
              <w:pStyle w:val="Compact"/>
              <w:jc w:val="left"/>
            </w:pPr>
            <w:r>
              <w:t xml:space="preserve">0.552</w:t>
            </w:r>
          </w:p>
        </w:tc>
        <w:tc>
          <w:tcPr/>
          <w:p>
            <w:pPr>
              <w:pStyle w:val="Compact"/>
              <w:jc w:val="left"/>
            </w:pPr>
            <w:r>
              <w:t xml:space="preserve">0.457</w:t>
            </w:r>
          </w:p>
        </w:tc>
      </w:tr>
    </w:tbl>
    <w:p>
      <w:pPr>
        <w:numPr>
          <w:ilvl w:val="0"/>
          <w:numId w:val="1003"/>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4"/>
        <w:gridCol w:w="1704"/>
        <w:gridCol w:w="2105"/>
        <w:gridCol w:w="1203"/>
        <w:gridCol w:w="1303"/>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0.228</w:t>
            </w:r>
          </w:p>
        </w:tc>
        <w:tc>
          <w:tcPr/>
          <w:p>
            <w:pPr>
              <w:pStyle w:val="Compact"/>
              <w:jc w:val="left"/>
            </w:pPr>
            <w:r>
              <w:t xml:space="preserve">0.000</w:t>
            </w:r>
          </w:p>
        </w:tc>
        <w:tc>
          <w:tcPr/>
          <w:p>
            <w:pPr>
              <w:pStyle w:val="Compact"/>
              <w:jc w:val="left"/>
            </w:pPr>
            <w:r>
              <w:t xml:space="preserve">2.913</w:t>
            </w:r>
          </w:p>
        </w:tc>
        <w:tc>
          <w:tcPr/>
          <w:p>
            <w:pPr>
              <w:pStyle w:val="Compact"/>
              <w:jc w:val="left"/>
            </w:pPr>
            <w:r>
              <w:t xml:space="preserve">0.088</w:t>
            </w:r>
          </w:p>
        </w:tc>
      </w:tr>
      <w:tr>
        <w:tc>
          <w:tcPr/>
          <w:p>
            <w:pPr>
              <w:pStyle w:val="Compact"/>
              <w:jc w:val="left"/>
            </w:pPr>
            <w:r>
              <w:t xml:space="preserve">1.00</w:t>
            </w:r>
          </w:p>
        </w:tc>
        <w:tc>
          <w:tcPr/>
          <w:p>
            <w:pPr>
              <w:pStyle w:val="Compact"/>
              <w:jc w:val="left"/>
            </w:pPr>
            <w:r>
              <w:t xml:space="preserve">0.228</w:t>
            </w:r>
          </w:p>
        </w:tc>
        <w:tc>
          <w:tcPr/>
          <w:p>
            <w:pPr>
              <w:pStyle w:val="Compact"/>
              <w:jc w:val="left"/>
            </w:pPr>
            <w:r>
              <w:t xml:space="preserve">0.146</w:t>
            </w:r>
          </w:p>
        </w:tc>
        <w:tc>
          <w:tcPr/>
          <w:p>
            <w:pPr>
              <w:pStyle w:val="Compact"/>
              <w:jc w:val="left"/>
            </w:pPr>
            <w:r>
              <w:t xml:space="preserve">2.734</w:t>
            </w:r>
          </w:p>
        </w:tc>
        <w:tc>
          <w:tcPr/>
          <w:p>
            <w:pPr>
              <w:pStyle w:val="Compact"/>
              <w:jc w:val="left"/>
            </w:pPr>
            <w:r>
              <w:t xml:space="preserve">0.098</w:t>
            </w:r>
          </w:p>
        </w:tc>
      </w:tr>
      <w:tr>
        <w:tc>
          <w:tcPr/>
          <w:p>
            <w:pPr>
              <w:pStyle w:val="Compact"/>
              <w:jc w:val="left"/>
            </w:pPr>
            <w:r>
              <w:t xml:space="preserve">1.42</w:t>
            </w:r>
          </w:p>
        </w:tc>
        <w:tc>
          <w:tcPr/>
          <w:p>
            <w:pPr>
              <w:pStyle w:val="Compact"/>
              <w:jc w:val="left"/>
            </w:pPr>
            <w:r>
              <w:t xml:space="preserve">0.228</w:t>
            </w:r>
          </w:p>
        </w:tc>
        <w:tc>
          <w:tcPr/>
          <w:p>
            <w:pPr>
              <w:pStyle w:val="Compact"/>
              <w:jc w:val="left"/>
            </w:pPr>
            <w:r>
              <w:t xml:space="preserve">0.199</w:t>
            </w:r>
          </w:p>
        </w:tc>
        <w:tc>
          <w:tcPr/>
          <w:p>
            <w:pPr>
              <w:pStyle w:val="Compact"/>
              <w:jc w:val="left"/>
            </w:pPr>
            <w:r>
              <w:t xml:space="preserve">4.366</w:t>
            </w:r>
          </w:p>
        </w:tc>
        <w:tc>
          <w:tcPr/>
          <w:p>
            <w:pPr>
              <w:pStyle w:val="Compact"/>
              <w:jc w:val="left"/>
            </w:pPr>
            <w:r>
              <w:t xml:space="preserve">0.037</w:t>
            </w:r>
          </w:p>
        </w:tc>
      </w:tr>
      <w:tr>
        <w:tc>
          <w:tcPr/>
          <w:p>
            <w:pPr>
              <w:pStyle w:val="Compact"/>
              <w:jc w:val="left"/>
            </w:pPr>
            <w:r>
              <w:t xml:space="preserve">2.00</w:t>
            </w:r>
          </w:p>
        </w:tc>
        <w:tc>
          <w:tcPr/>
          <w:p>
            <w:pPr>
              <w:pStyle w:val="Compact"/>
              <w:jc w:val="left"/>
            </w:pPr>
            <w:r>
              <w:t xml:space="preserve">0.228</w:t>
            </w:r>
          </w:p>
        </w:tc>
        <w:tc>
          <w:tcPr/>
          <w:p>
            <w:pPr>
              <w:pStyle w:val="Compact"/>
              <w:jc w:val="left"/>
            </w:pPr>
            <w:r>
              <w:t xml:space="preserve">0.303</w:t>
            </w:r>
          </w:p>
        </w:tc>
        <w:tc>
          <w:tcPr/>
          <w:p>
            <w:pPr>
              <w:pStyle w:val="Compact"/>
              <w:jc w:val="left"/>
            </w:pPr>
            <w:r>
              <w:t xml:space="preserve">6.938</w:t>
            </w:r>
          </w:p>
        </w:tc>
        <w:tc>
          <w:tcPr/>
          <w:p>
            <w:pPr>
              <w:pStyle w:val="Compact"/>
              <w:jc w:val="left"/>
            </w:pPr>
            <w:r>
              <w:t xml:space="preserve">0.008</w:t>
            </w:r>
          </w:p>
        </w:tc>
      </w:tr>
      <w:tr>
        <w:tc>
          <w:tcPr/>
          <w:p>
            <w:pPr>
              <w:pStyle w:val="Compact"/>
              <w:jc w:val="left"/>
            </w:pPr>
            <w:r>
              <w:t xml:space="preserve">2.84</w:t>
            </w:r>
          </w:p>
        </w:tc>
        <w:tc>
          <w:tcPr/>
          <w:p>
            <w:pPr>
              <w:pStyle w:val="Compact"/>
              <w:jc w:val="left"/>
            </w:pPr>
            <w:r>
              <w:t xml:space="preserve">0.228</w:t>
            </w:r>
          </w:p>
        </w:tc>
        <w:tc>
          <w:tcPr/>
          <w:p>
            <w:pPr>
              <w:pStyle w:val="Compact"/>
              <w:jc w:val="left"/>
            </w:pPr>
            <w:r>
              <w:t xml:space="preserve">0.198</w:t>
            </w:r>
          </w:p>
        </w:tc>
        <w:tc>
          <w:tcPr/>
          <w:p>
            <w:pPr>
              <w:pStyle w:val="Compact"/>
              <w:jc w:val="left"/>
            </w:pPr>
            <w:r>
              <w:t xml:space="preserve">2.305</w:t>
            </w:r>
          </w:p>
        </w:tc>
        <w:tc>
          <w:tcPr/>
          <w:p>
            <w:pPr>
              <w:pStyle w:val="Compact"/>
              <w:jc w:val="left"/>
            </w:pPr>
            <w:r>
              <w:t xml:space="preserve">0.129</w:t>
            </w:r>
          </w:p>
        </w:tc>
      </w:tr>
      <w:tr>
        <w:tc>
          <w:tcPr/>
          <w:p>
            <w:pPr>
              <w:pStyle w:val="Compact"/>
              <w:jc w:val="left"/>
            </w:pPr>
            <w:r>
              <w:t xml:space="preserve">3.00</w:t>
            </w:r>
          </w:p>
        </w:tc>
        <w:tc>
          <w:tcPr/>
          <w:p>
            <w:pPr>
              <w:pStyle w:val="Compact"/>
              <w:jc w:val="left"/>
            </w:pPr>
            <w:r>
              <w:t xml:space="preserve">0.228</w:t>
            </w:r>
          </w:p>
        </w:tc>
        <w:tc>
          <w:tcPr/>
          <w:p>
            <w:pPr>
              <w:pStyle w:val="Compact"/>
              <w:jc w:val="left"/>
            </w:pPr>
            <w:r>
              <w:t xml:space="preserve">0.222</w:t>
            </w:r>
          </w:p>
        </w:tc>
        <w:tc>
          <w:tcPr/>
          <w:p>
            <w:pPr>
              <w:pStyle w:val="Compact"/>
              <w:jc w:val="left"/>
            </w:pPr>
            <w:r>
              <w:t xml:space="preserve">2.033</w:t>
            </w:r>
          </w:p>
        </w:tc>
        <w:tc>
          <w:tcPr/>
          <w:p>
            <w:pPr>
              <w:pStyle w:val="Compact"/>
              <w:jc w:val="left"/>
            </w:pPr>
            <w:r>
              <w:t xml:space="preserve">0.154</w:t>
            </w:r>
          </w:p>
        </w:tc>
      </w:tr>
      <w:tr>
        <w:tc>
          <w:tcPr/>
          <w:p>
            <w:pPr>
              <w:pStyle w:val="Compact"/>
              <w:jc w:val="left"/>
            </w:pPr>
            <w:r>
              <w:t xml:space="preserve">4.00</w:t>
            </w:r>
          </w:p>
        </w:tc>
        <w:tc>
          <w:tcPr/>
          <w:p>
            <w:pPr>
              <w:pStyle w:val="Compact"/>
              <w:jc w:val="left"/>
            </w:pPr>
            <w:r>
              <w:t xml:space="preserve">0.228</w:t>
            </w:r>
          </w:p>
        </w:tc>
        <w:tc>
          <w:tcPr/>
          <w:p>
            <w:pPr>
              <w:pStyle w:val="Compact"/>
              <w:jc w:val="left"/>
            </w:pPr>
            <w:r>
              <w:t xml:space="preserve">0.141</w:t>
            </w:r>
          </w:p>
        </w:tc>
        <w:tc>
          <w:tcPr/>
          <w:p>
            <w:pPr>
              <w:pStyle w:val="Compact"/>
              <w:jc w:val="left"/>
            </w:pPr>
            <w:r>
              <w:t xml:space="preserve">0.625</w:t>
            </w:r>
          </w:p>
        </w:tc>
        <w:tc>
          <w:tcPr/>
          <w:p>
            <w:pPr>
              <w:pStyle w:val="Compact"/>
              <w:jc w:val="left"/>
            </w:pPr>
            <w:r>
              <w:t xml:space="preserve">0.429</w:t>
            </w:r>
          </w:p>
        </w:tc>
      </w:tr>
      <w:tr>
        <w:tc>
          <w:tcPr/>
          <w:p>
            <w:pPr>
              <w:pStyle w:val="Compact"/>
              <w:jc w:val="left"/>
            </w:pPr>
            <w:r>
              <w:t xml:space="preserve">4.25</w:t>
            </w:r>
          </w:p>
        </w:tc>
        <w:tc>
          <w:tcPr/>
          <w:p>
            <w:pPr>
              <w:pStyle w:val="Compact"/>
              <w:jc w:val="left"/>
            </w:pPr>
            <w:r>
              <w:t xml:space="preserve">0.228</w:t>
            </w:r>
          </w:p>
        </w:tc>
        <w:tc>
          <w:tcPr/>
          <w:p>
            <w:pPr>
              <w:pStyle w:val="Compact"/>
              <w:jc w:val="left"/>
            </w:pPr>
            <w:r>
              <w:t xml:space="preserve">0.127</w:t>
            </w:r>
          </w:p>
        </w:tc>
        <w:tc>
          <w:tcPr/>
          <w:p>
            <w:pPr>
              <w:pStyle w:val="Compact"/>
              <w:jc w:val="left"/>
            </w:pPr>
            <w:r>
              <w:t xml:space="preserve">0.410</w:t>
            </w:r>
          </w:p>
        </w:tc>
        <w:tc>
          <w:tcPr/>
          <w:p>
            <w:pPr>
              <w:pStyle w:val="Compact"/>
              <w:jc w:val="left"/>
            </w:pPr>
            <w:r>
              <w:t xml:space="preserve">0.522</w:t>
            </w:r>
          </w:p>
        </w:tc>
      </w:tr>
    </w:tbl>
    <w:p>
      <w:pPr>
        <w:numPr>
          <w:ilvl w:val="0"/>
          <w:numId w:val="1004"/>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0.591</w:t>
            </w:r>
          </w:p>
        </w:tc>
        <w:tc>
          <w:tcPr/>
          <w:p>
            <w:pPr>
              <w:pStyle w:val="Compact"/>
              <w:jc w:val="left"/>
            </w:pPr>
            <w:r>
              <w:t xml:space="preserve">0.000</w:t>
            </w:r>
          </w:p>
        </w:tc>
        <w:tc>
          <w:tcPr/>
          <w:p>
            <w:pPr>
              <w:pStyle w:val="Compact"/>
              <w:jc w:val="left"/>
            </w:pPr>
            <w:r>
              <w:t xml:space="preserve">14.659</w:t>
            </w:r>
          </w:p>
        </w:tc>
        <w:tc>
          <w:tcPr/>
          <w:p>
            <w:pPr>
              <w:pStyle w:val="Compact"/>
              <w:jc w:val="left"/>
            </w:pPr>
            <w:r>
              <w:t xml:space="preserve">0.00013</w:t>
            </w:r>
          </w:p>
        </w:tc>
      </w:tr>
      <w:tr>
        <w:tc>
          <w:tcPr/>
          <w:p>
            <w:pPr>
              <w:pStyle w:val="Compact"/>
              <w:jc w:val="left"/>
            </w:pPr>
            <w:r>
              <w:t xml:space="preserve">1.00</w:t>
            </w:r>
          </w:p>
        </w:tc>
        <w:tc>
          <w:tcPr/>
          <w:p>
            <w:pPr>
              <w:pStyle w:val="Compact"/>
              <w:jc w:val="left"/>
            </w:pPr>
            <w:r>
              <w:t xml:space="preserve">0.591</w:t>
            </w:r>
          </w:p>
        </w:tc>
        <w:tc>
          <w:tcPr/>
          <w:p>
            <w:pPr>
              <w:pStyle w:val="Compact"/>
              <w:jc w:val="left"/>
            </w:pPr>
            <w:r>
              <w:t xml:space="preserve">0.191</w:t>
            </w:r>
          </w:p>
        </w:tc>
        <w:tc>
          <w:tcPr/>
          <w:p>
            <w:pPr>
              <w:pStyle w:val="Compact"/>
              <w:jc w:val="left"/>
            </w:pPr>
            <w:r>
              <w:t xml:space="preserve">28.423</w:t>
            </w:r>
          </w:p>
        </w:tc>
        <w:tc>
          <w:tcPr/>
          <w:p>
            <w:pPr>
              <w:pStyle w:val="Compact"/>
              <w:jc w:val="left"/>
            </w:pPr>
            <w:r>
              <w:t xml:space="preserve">9.75E-08</w:t>
            </w:r>
          </w:p>
        </w:tc>
      </w:tr>
      <w:tr>
        <w:tc>
          <w:tcPr/>
          <w:p>
            <w:pPr>
              <w:pStyle w:val="Compact"/>
              <w:jc w:val="left"/>
            </w:pPr>
            <w:r>
              <w:t xml:space="preserve">1.42</w:t>
            </w:r>
          </w:p>
        </w:tc>
        <w:tc>
          <w:tcPr/>
          <w:p>
            <w:pPr>
              <w:pStyle w:val="Compact"/>
              <w:jc w:val="left"/>
            </w:pPr>
            <w:r>
              <w:t xml:space="preserve">0.591</w:t>
            </w:r>
          </w:p>
        </w:tc>
        <w:tc>
          <w:tcPr/>
          <w:p>
            <w:pPr>
              <w:pStyle w:val="Compact"/>
              <w:jc w:val="left"/>
            </w:pPr>
            <w:r>
              <w:t xml:space="preserve">0.098</w:t>
            </w:r>
          </w:p>
        </w:tc>
        <w:tc>
          <w:tcPr/>
          <w:p>
            <w:pPr>
              <w:pStyle w:val="Compact"/>
              <w:jc w:val="left"/>
            </w:pPr>
            <w:r>
              <w:t xml:space="preserve">14.040</w:t>
            </w:r>
          </w:p>
        </w:tc>
        <w:tc>
          <w:tcPr/>
          <w:p>
            <w:pPr>
              <w:pStyle w:val="Compact"/>
              <w:jc w:val="left"/>
            </w:pPr>
            <w:r>
              <w:t xml:space="preserve">0.00018</w:t>
            </w:r>
          </w:p>
        </w:tc>
      </w:tr>
      <w:tr>
        <w:tc>
          <w:tcPr/>
          <w:p>
            <w:pPr>
              <w:pStyle w:val="Compact"/>
              <w:jc w:val="left"/>
            </w:pPr>
            <w:r>
              <w:t xml:space="preserve">2.00</w:t>
            </w:r>
          </w:p>
        </w:tc>
        <w:tc>
          <w:tcPr/>
          <w:p>
            <w:pPr>
              <w:pStyle w:val="Compact"/>
              <w:jc w:val="left"/>
            </w:pPr>
            <w:r>
              <w:t xml:space="preserve">0.591</w:t>
            </w:r>
          </w:p>
        </w:tc>
        <w:tc>
          <w:tcPr/>
          <w:p>
            <w:pPr>
              <w:pStyle w:val="Compact"/>
              <w:jc w:val="left"/>
            </w:pPr>
            <w:r>
              <w:t xml:space="preserve">0.175</w:t>
            </w:r>
          </w:p>
        </w:tc>
        <w:tc>
          <w:tcPr/>
          <w:p>
            <w:pPr>
              <w:pStyle w:val="Compact"/>
              <w:jc w:val="left"/>
            </w:pPr>
            <w:r>
              <w:t xml:space="preserve">17.141</w:t>
            </w:r>
          </w:p>
        </w:tc>
        <w:tc>
          <w:tcPr/>
          <w:p>
            <w:pPr>
              <w:pStyle w:val="Compact"/>
              <w:jc w:val="left"/>
            </w:pPr>
            <w:r>
              <w:t xml:space="preserve">3.47E-05</w:t>
            </w:r>
          </w:p>
        </w:tc>
      </w:tr>
      <w:tr>
        <w:tc>
          <w:tcPr/>
          <w:p>
            <w:pPr>
              <w:pStyle w:val="Compact"/>
              <w:jc w:val="left"/>
            </w:pPr>
            <w:r>
              <w:t xml:space="preserve">2.84</w:t>
            </w:r>
          </w:p>
        </w:tc>
        <w:tc>
          <w:tcPr/>
          <w:p>
            <w:pPr>
              <w:pStyle w:val="Compact"/>
              <w:jc w:val="left"/>
            </w:pPr>
            <w:r>
              <w:t xml:space="preserve">0.591</w:t>
            </w:r>
          </w:p>
        </w:tc>
        <w:tc>
          <w:tcPr/>
          <w:p>
            <w:pPr>
              <w:pStyle w:val="Compact"/>
              <w:jc w:val="left"/>
            </w:pPr>
            <w:r>
              <w:t xml:space="preserve">0.101</w:t>
            </w:r>
          </w:p>
        </w:tc>
        <w:tc>
          <w:tcPr/>
          <w:p>
            <w:pPr>
              <w:pStyle w:val="Compact"/>
              <w:jc w:val="left"/>
            </w:pPr>
            <w:r>
              <w:t xml:space="preserve">6.129</w:t>
            </w:r>
          </w:p>
        </w:tc>
        <w:tc>
          <w:tcPr/>
          <w:p>
            <w:pPr>
              <w:pStyle w:val="Compact"/>
              <w:jc w:val="left"/>
            </w:pPr>
            <w:r>
              <w:t xml:space="preserve">0.0133</w:t>
            </w:r>
          </w:p>
        </w:tc>
      </w:tr>
      <w:tr>
        <w:tc>
          <w:tcPr/>
          <w:p>
            <w:pPr>
              <w:pStyle w:val="Compact"/>
              <w:jc w:val="left"/>
            </w:pPr>
            <w:r>
              <w:t xml:space="preserve">3.00</w:t>
            </w:r>
          </w:p>
        </w:tc>
        <w:tc>
          <w:tcPr/>
          <w:p>
            <w:pPr>
              <w:pStyle w:val="Compact"/>
              <w:jc w:val="left"/>
            </w:pPr>
            <w:r>
              <w:t xml:space="preserve">0.591</w:t>
            </w:r>
          </w:p>
        </w:tc>
        <w:tc>
          <w:tcPr/>
          <w:p>
            <w:pPr>
              <w:pStyle w:val="Compact"/>
              <w:jc w:val="left"/>
            </w:pPr>
            <w:r>
              <w:t xml:space="preserve">0.130</w:t>
            </w:r>
          </w:p>
        </w:tc>
        <w:tc>
          <w:tcPr/>
          <w:p>
            <w:pPr>
              <w:pStyle w:val="Compact"/>
              <w:jc w:val="left"/>
            </w:pPr>
            <w:r>
              <w:t xml:space="preserve">8.517</w:t>
            </w:r>
          </w:p>
        </w:tc>
        <w:tc>
          <w:tcPr/>
          <w:p>
            <w:pPr>
              <w:pStyle w:val="Compact"/>
              <w:jc w:val="left"/>
            </w:pPr>
            <w:r>
              <w:t xml:space="preserve">0.0035</w:t>
            </w:r>
          </w:p>
        </w:tc>
      </w:tr>
      <w:tr>
        <w:tc>
          <w:tcPr/>
          <w:p>
            <w:pPr>
              <w:pStyle w:val="Compact"/>
              <w:jc w:val="left"/>
            </w:pPr>
            <w:r>
              <w:t xml:space="preserve">4.00</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9.944</w:t>
            </w:r>
          </w:p>
        </w:tc>
        <w:tc>
          <w:tcPr/>
          <w:p>
            <w:pPr>
              <w:pStyle w:val="Compact"/>
              <w:jc w:val="left"/>
            </w:pPr>
            <w:r>
              <w:t xml:space="preserve">0.0016</w:t>
            </w:r>
          </w:p>
        </w:tc>
      </w:tr>
      <w:tr>
        <w:tc>
          <w:tcPr/>
          <w:p>
            <w:pPr>
              <w:pStyle w:val="Compact"/>
              <w:jc w:val="left"/>
            </w:pPr>
            <w:r>
              <w:t xml:space="preserve">4.25</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8.470</w:t>
            </w:r>
          </w:p>
        </w:tc>
        <w:tc>
          <w:tcPr/>
          <w:p>
            <w:pPr>
              <w:pStyle w:val="Compact"/>
              <w:jc w:val="left"/>
            </w:pPr>
            <w:r>
              <w:t xml:space="preserve">0.0036</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5"/>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0.296</w:t>
            </w:r>
          </w:p>
        </w:tc>
        <w:tc>
          <w:tcPr/>
          <w:p>
            <w:pPr>
              <w:pStyle w:val="Compact"/>
              <w:jc w:val="left"/>
            </w:pPr>
            <w:r>
              <w:t xml:space="preserve">0.000</w:t>
            </w:r>
          </w:p>
        </w:tc>
        <w:tc>
          <w:tcPr/>
          <w:p>
            <w:pPr>
              <w:pStyle w:val="Compact"/>
              <w:jc w:val="left"/>
            </w:pPr>
            <w:r>
              <w:t xml:space="preserve">4.878</w:t>
            </w:r>
          </w:p>
        </w:tc>
        <w:tc>
          <w:tcPr/>
          <w:p>
            <w:pPr>
              <w:pStyle w:val="Compact"/>
              <w:jc w:val="left"/>
            </w:pPr>
            <w:r>
              <w:t xml:space="preserve">0.027</w:t>
            </w:r>
          </w:p>
        </w:tc>
      </w:tr>
      <w:tr>
        <w:tc>
          <w:tcPr/>
          <w:p>
            <w:pPr>
              <w:pStyle w:val="Compact"/>
              <w:jc w:val="left"/>
            </w:pPr>
            <w:r>
              <w:t xml:space="preserve">1.00</w:t>
            </w:r>
          </w:p>
        </w:tc>
        <w:tc>
          <w:tcPr/>
          <w:p>
            <w:pPr>
              <w:pStyle w:val="Compact"/>
              <w:jc w:val="left"/>
            </w:pPr>
            <w:r>
              <w:t xml:space="preserve">0.296</w:t>
            </w:r>
          </w:p>
        </w:tc>
        <w:tc>
          <w:tcPr/>
          <w:p>
            <w:pPr>
              <w:pStyle w:val="Compact"/>
              <w:jc w:val="left"/>
            </w:pPr>
            <w:r>
              <w:t xml:space="preserve">0.163</w:t>
            </w:r>
          </w:p>
        </w:tc>
        <w:tc>
          <w:tcPr/>
          <w:p>
            <w:pPr>
              <w:pStyle w:val="Compact"/>
              <w:jc w:val="left"/>
            </w:pPr>
            <w:r>
              <w:t xml:space="preserve">5.782</w:t>
            </w:r>
          </w:p>
        </w:tc>
        <w:tc>
          <w:tcPr/>
          <w:p>
            <w:pPr>
              <w:pStyle w:val="Compact"/>
              <w:jc w:val="left"/>
            </w:pPr>
            <w:r>
              <w:t xml:space="preserve">0.016</w:t>
            </w:r>
          </w:p>
        </w:tc>
      </w:tr>
      <w:tr>
        <w:tc>
          <w:tcPr/>
          <w:p>
            <w:pPr>
              <w:pStyle w:val="Compact"/>
              <w:jc w:val="left"/>
            </w:pPr>
            <w:r>
              <w:t xml:space="preserve">1.42</w:t>
            </w:r>
          </w:p>
        </w:tc>
        <w:tc>
          <w:tcPr/>
          <w:p>
            <w:pPr>
              <w:pStyle w:val="Compact"/>
              <w:jc w:val="left"/>
            </w:pPr>
            <w:r>
              <w:t xml:space="preserve">0.296</w:t>
            </w:r>
          </w:p>
        </w:tc>
        <w:tc>
          <w:tcPr/>
          <w:p>
            <w:pPr>
              <w:pStyle w:val="Compact"/>
              <w:jc w:val="left"/>
            </w:pPr>
            <w:r>
              <w:t xml:space="preserve">0.160</w:t>
            </w:r>
          </w:p>
        </w:tc>
        <w:tc>
          <w:tcPr/>
          <w:p>
            <w:pPr>
              <w:pStyle w:val="Compact"/>
              <w:jc w:val="left"/>
            </w:pPr>
            <w:r>
              <w:t xml:space="preserve">3.977</w:t>
            </w:r>
          </w:p>
        </w:tc>
        <w:tc>
          <w:tcPr/>
          <w:p>
            <w:pPr>
              <w:pStyle w:val="Compact"/>
              <w:jc w:val="left"/>
            </w:pPr>
            <w:r>
              <w:t xml:space="preserve">0.046</w:t>
            </w:r>
          </w:p>
        </w:tc>
      </w:tr>
      <w:tr>
        <w:tc>
          <w:tcPr/>
          <w:p>
            <w:pPr>
              <w:pStyle w:val="Compact"/>
              <w:jc w:val="left"/>
            </w:pPr>
            <w:r>
              <w:t xml:space="preserve">2.00</w:t>
            </w:r>
          </w:p>
        </w:tc>
        <w:tc>
          <w:tcPr/>
          <w:p>
            <w:pPr>
              <w:pStyle w:val="Compact"/>
              <w:jc w:val="left"/>
            </w:pPr>
            <w:r>
              <w:t xml:space="preserve">0.296</w:t>
            </w:r>
          </w:p>
        </w:tc>
        <w:tc>
          <w:tcPr/>
          <w:p>
            <w:pPr>
              <w:pStyle w:val="Compact"/>
              <w:jc w:val="left"/>
            </w:pPr>
            <w:r>
              <w:t xml:space="preserve">0.210</w:t>
            </w:r>
          </w:p>
        </w:tc>
        <w:tc>
          <w:tcPr/>
          <w:p>
            <w:pPr>
              <w:pStyle w:val="Compact"/>
              <w:jc w:val="left"/>
            </w:pPr>
            <w:r>
              <w:t xml:space="preserve">3.532</w:t>
            </w:r>
          </w:p>
        </w:tc>
        <w:tc>
          <w:tcPr/>
          <w:p>
            <w:pPr>
              <w:pStyle w:val="Compact"/>
              <w:jc w:val="left"/>
            </w:pPr>
            <w:r>
              <w:t xml:space="preserve">0.060</w:t>
            </w:r>
          </w:p>
        </w:tc>
      </w:tr>
      <w:tr>
        <w:tc>
          <w:tcPr/>
          <w:p>
            <w:pPr>
              <w:pStyle w:val="Compact"/>
              <w:jc w:val="left"/>
            </w:pPr>
            <w:r>
              <w:t xml:space="preserve">2.84</w:t>
            </w:r>
          </w:p>
        </w:tc>
        <w:tc>
          <w:tcPr/>
          <w:p>
            <w:pPr>
              <w:pStyle w:val="Compact"/>
              <w:jc w:val="left"/>
            </w:pPr>
            <w:r>
              <w:t xml:space="preserve">0.296</w:t>
            </w:r>
          </w:p>
        </w:tc>
        <w:tc>
          <w:tcPr/>
          <w:p>
            <w:pPr>
              <w:pStyle w:val="Compact"/>
              <w:jc w:val="left"/>
            </w:pPr>
            <w:r>
              <w:t xml:space="preserve">0.217</w:t>
            </w:r>
          </w:p>
        </w:tc>
        <w:tc>
          <w:tcPr/>
          <w:p>
            <w:pPr>
              <w:pStyle w:val="Compact"/>
              <w:jc w:val="left"/>
            </w:pPr>
            <w:r>
              <w:t xml:space="preserve">2.942</w:t>
            </w:r>
          </w:p>
        </w:tc>
        <w:tc>
          <w:tcPr/>
          <w:p>
            <w:pPr>
              <w:pStyle w:val="Compact"/>
              <w:jc w:val="left"/>
            </w:pPr>
            <w:r>
              <w:t xml:space="preserve">0.086</w:t>
            </w:r>
          </w:p>
        </w:tc>
      </w:tr>
      <w:tr>
        <w:tc>
          <w:tcPr/>
          <w:p>
            <w:pPr>
              <w:pStyle w:val="Compact"/>
              <w:jc w:val="left"/>
            </w:pPr>
            <w:r>
              <w:t xml:space="preserve">3.00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2.378</w:t>
            </w:r>
          </w:p>
        </w:tc>
        <w:tc>
          <w:tcPr/>
          <w:p>
            <w:pPr>
              <w:pStyle w:val="Compact"/>
              <w:jc w:val="left"/>
            </w:pPr>
            <w:r>
              <w:t xml:space="preserve">0.123</w:t>
            </w:r>
          </w:p>
        </w:tc>
      </w:tr>
      <w:tr>
        <w:tc>
          <w:tcPr/>
          <w:p>
            <w:pPr>
              <w:pStyle w:val="Compact"/>
              <w:jc w:val="left"/>
            </w:pPr>
            <w:r>
              <w:t xml:space="preserve">4.00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2.793</w:t>
            </w:r>
          </w:p>
        </w:tc>
        <w:tc>
          <w:tcPr/>
          <w:p>
            <w:pPr>
              <w:pStyle w:val="Compact"/>
              <w:jc w:val="left"/>
            </w:pPr>
            <w:r>
              <w:t xml:space="preserve">0.095</w:t>
            </w:r>
          </w:p>
        </w:tc>
      </w:tr>
      <w:tr>
        <w:tc>
          <w:tcPr/>
          <w:p>
            <w:pPr>
              <w:pStyle w:val="Compact"/>
              <w:jc w:val="left"/>
            </w:pPr>
            <w:r>
              <w:t xml:space="preserve">4.25</w:t>
            </w:r>
          </w:p>
        </w:tc>
        <w:tc>
          <w:tcPr/>
          <w:p>
            <w:pPr>
              <w:pStyle w:val="Compact"/>
              <w:jc w:val="left"/>
            </w:pPr>
            <w:r>
              <w:t xml:space="preserve">0.296</w:t>
            </w:r>
          </w:p>
        </w:tc>
        <w:tc>
          <w:tcPr/>
          <w:p>
            <w:pPr>
              <w:pStyle w:val="Compact"/>
              <w:jc w:val="left"/>
            </w:pPr>
            <w:r>
              <w:t xml:space="preserve">0.105</w:t>
            </w:r>
          </w:p>
        </w:tc>
        <w:tc>
          <w:tcPr/>
          <w:p>
            <w:pPr>
              <w:pStyle w:val="Compact"/>
              <w:jc w:val="left"/>
            </w:pPr>
            <w:r>
              <w:t xml:space="preserve">0.399</w:t>
            </w:r>
          </w:p>
        </w:tc>
        <w:tc>
          <w:tcPr/>
          <w:p>
            <w:pPr>
              <w:pStyle w:val="Compact"/>
              <w:jc w:val="left"/>
            </w:pPr>
            <w:r>
              <w:t xml:space="preserve">0.528</w:t>
            </w:r>
          </w:p>
        </w:tc>
      </w:tr>
    </w:tbl>
    <w:p>
      <w:pPr>
        <w:numPr>
          <w:ilvl w:val="0"/>
          <w:numId w:val="1006"/>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0.166</w:t>
            </w:r>
          </w:p>
        </w:tc>
        <w:tc>
          <w:tcPr/>
          <w:p>
            <w:pPr>
              <w:pStyle w:val="Compact"/>
              <w:jc w:val="left"/>
            </w:pPr>
            <w:r>
              <w:t xml:space="preserve">0.000</w:t>
            </w:r>
          </w:p>
        </w:tc>
        <w:tc>
          <w:tcPr/>
          <w:p>
            <w:pPr>
              <w:pStyle w:val="Compact"/>
              <w:jc w:val="left"/>
            </w:pPr>
            <w:r>
              <w:t xml:space="preserve">2.598</w:t>
            </w:r>
          </w:p>
        </w:tc>
        <w:tc>
          <w:tcPr/>
          <w:p>
            <w:pPr>
              <w:pStyle w:val="Compact"/>
              <w:jc w:val="left"/>
            </w:pPr>
            <w:r>
              <w:t xml:space="preserve">0.107</w:t>
            </w:r>
          </w:p>
        </w:tc>
      </w:tr>
      <w:tr>
        <w:tc>
          <w:tcPr/>
          <w:p>
            <w:pPr>
              <w:pStyle w:val="Compact"/>
              <w:jc w:val="left"/>
            </w:pPr>
            <w:r>
              <w:t xml:space="preserve">1.00</w:t>
            </w:r>
          </w:p>
        </w:tc>
        <w:tc>
          <w:tcPr/>
          <w:p>
            <w:pPr>
              <w:pStyle w:val="Compact"/>
              <w:jc w:val="left"/>
            </w:pPr>
            <w:r>
              <w:t xml:space="preserve">0.166</w:t>
            </w:r>
          </w:p>
        </w:tc>
        <w:tc>
          <w:tcPr/>
          <w:p>
            <w:pPr>
              <w:pStyle w:val="Compact"/>
              <w:jc w:val="left"/>
            </w:pPr>
            <w:r>
              <w:t xml:space="preserve">0.145</w:t>
            </w:r>
          </w:p>
        </w:tc>
        <w:tc>
          <w:tcPr/>
          <w:p>
            <w:pPr>
              <w:pStyle w:val="Compact"/>
              <w:jc w:val="left"/>
            </w:pPr>
            <w:r>
              <w:t xml:space="preserve">2.449</w:t>
            </w:r>
          </w:p>
        </w:tc>
        <w:tc>
          <w:tcPr/>
          <w:p>
            <w:pPr>
              <w:pStyle w:val="Compact"/>
              <w:jc w:val="left"/>
            </w:pPr>
            <w:r>
              <w:t xml:space="preserve">0.118</w:t>
            </w:r>
          </w:p>
        </w:tc>
      </w:tr>
      <w:tr>
        <w:tc>
          <w:tcPr/>
          <w:p>
            <w:pPr>
              <w:pStyle w:val="Compact"/>
              <w:jc w:val="left"/>
            </w:pPr>
            <w:r>
              <w:t xml:space="preserve">1.42</w:t>
            </w:r>
          </w:p>
        </w:tc>
        <w:tc>
          <w:tcPr/>
          <w:p>
            <w:pPr>
              <w:pStyle w:val="Compact"/>
              <w:jc w:val="left"/>
            </w:pPr>
            <w:r>
              <w:t xml:space="preserve">0.166</w:t>
            </w:r>
          </w:p>
        </w:tc>
        <w:tc>
          <w:tcPr/>
          <w:p>
            <w:pPr>
              <w:pStyle w:val="Compact"/>
              <w:jc w:val="left"/>
            </w:pPr>
            <w:r>
              <w:t xml:space="preserve">0.207</w:t>
            </w:r>
          </w:p>
        </w:tc>
        <w:tc>
          <w:tcPr/>
          <w:p>
            <w:pPr>
              <w:pStyle w:val="Compact"/>
              <w:jc w:val="left"/>
            </w:pPr>
            <w:r>
              <w:t xml:space="preserve">4.117</w:t>
            </w:r>
          </w:p>
        </w:tc>
        <w:tc>
          <w:tcPr/>
          <w:p>
            <w:pPr>
              <w:pStyle w:val="Compact"/>
              <w:jc w:val="left"/>
            </w:pPr>
            <w:r>
              <w:t xml:space="preserve">0.042</w:t>
            </w:r>
          </w:p>
        </w:tc>
      </w:tr>
      <w:tr>
        <w:tc>
          <w:tcPr/>
          <w:p>
            <w:pPr>
              <w:pStyle w:val="Compact"/>
              <w:jc w:val="left"/>
            </w:pPr>
            <w:r>
              <w:t xml:space="preserve">2.00</w:t>
            </w:r>
          </w:p>
        </w:tc>
        <w:tc>
          <w:tcPr/>
          <w:p>
            <w:pPr>
              <w:pStyle w:val="Compact"/>
              <w:jc w:val="left"/>
            </w:pPr>
            <w:r>
              <w:t xml:space="preserve">0.166</w:t>
            </w:r>
          </w:p>
        </w:tc>
        <w:tc>
          <w:tcPr/>
          <w:p>
            <w:pPr>
              <w:pStyle w:val="Compact"/>
              <w:jc w:val="left"/>
            </w:pPr>
            <w:r>
              <w:t xml:space="preserve">0.313</w:t>
            </w:r>
          </w:p>
        </w:tc>
        <w:tc>
          <w:tcPr/>
          <w:p>
            <w:pPr>
              <w:pStyle w:val="Compact"/>
              <w:jc w:val="left"/>
            </w:pPr>
            <w:r>
              <w:t xml:space="preserve">5.776</w:t>
            </w:r>
          </w:p>
        </w:tc>
        <w:tc>
          <w:tcPr/>
          <w:p>
            <w:pPr>
              <w:pStyle w:val="Compact"/>
              <w:jc w:val="left"/>
            </w:pPr>
            <w:r>
              <w:t xml:space="preserve">0.016</w:t>
            </w:r>
          </w:p>
        </w:tc>
      </w:tr>
      <w:tr>
        <w:tc>
          <w:tcPr/>
          <w:p>
            <w:pPr>
              <w:pStyle w:val="Compact"/>
              <w:jc w:val="left"/>
            </w:pPr>
            <w:r>
              <w:t xml:space="preserve">2.84</w:t>
            </w:r>
          </w:p>
        </w:tc>
        <w:tc>
          <w:tcPr/>
          <w:p>
            <w:pPr>
              <w:pStyle w:val="Compact"/>
              <w:jc w:val="left"/>
            </w:pPr>
            <w:r>
              <w:t xml:space="preserve">0.166</w:t>
            </w:r>
          </w:p>
        </w:tc>
        <w:tc>
          <w:tcPr/>
          <w:p>
            <w:pPr>
              <w:pStyle w:val="Compact"/>
              <w:jc w:val="left"/>
            </w:pPr>
            <w:r>
              <w:t xml:space="preserve">0.212</w:t>
            </w:r>
          </w:p>
        </w:tc>
        <w:tc>
          <w:tcPr/>
          <w:p>
            <w:pPr>
              <w:pStyle w:val="Compact"/>
              <w:jc w:val="left"/>
            </w:pPr>
            <w:r>
              <w:t xml:space="preserve">1.881</w:t>
            </w:r>
          </w:p>
        </w:tc>
        <w:tc>
          <w:tcPr/>
          <w:p>
            <w:pPr>
              <w:pStyle w:val="Compact"/>
              <w:jc w:val="left"/>
            </w:pPr>
            <w:r>
              <w:t xml:space="preserve">0.170</w:t>
            </w:r>
          </w:p>
        </w:tc>
      </w:tr>
      <w:tr>
        <w:tc>
          <w:tcPr/>
          <w:p>
            <w:pPr>
              <w:pStyle w:val="Compact"/>
              <w:jc w:val="left"/>
            </w:pPr>
            <w:r>
              <w:t xml:space="preserve">3.00</w:t>
            </w:r>
          </w:p>
        </w:tc>
        <w:tc>
          <w:tcPr/>
          <w:p>
            <w:pPr>
              <w:pStyle w:val="Compact"/>
              <w:jc w:val="left"/>
            </w:pPr>
            <w:r>
              <w:t xml:space="preserve">0.166</w:t>
            </w:r>
          </w:p>
        </w:tc>
        <w:tc>
          <w:tcPr/>
          <w:p>
            <w:pPr>
              <w:pStyle w:val="Compact"/>
              <w:jc w:val="left"/>
            </w:pPr>
            <w:r>
              <w:t xml:space="preserve">0.227</w:t>
            </w:r>
          </w:p>
        </w:tc>
        <w:tc>
          <w:tcPr/>
          <w:p>
            <w:pPr>
              <w:pStyle w:val="Compact"/>
              <w:jc w:val="left"/>
            </w:pPr>
            <w:r>
              <w:t xml:space="preserve">1.448</w:t>
            </w:r>
          </w:p>
        </w:tc>
        <w:tc>
          <w:tcPr/>
          <w:p>
            <w:pPr>
              <w:pStyle w:val="Compact"/>
              <w:jc w:val="left"/>
            </w:pPr>
            <w:r>
              <w:t xml:space="preserve">0.229</w:t>
            </w:r>
          </w:p>
        </w:tc>
      </w:tr>
      <w:tr>
        <w:tc>
          <w:tcPr/>
          <w:p>
            <w:pPr>
              <w:pStyle w:val="Compact"/>
              <w:jc w:val="left"/>
            </w:pPr>
            <w:r>
              <w:t xml:space="preserve">4.00</w:t>
            </w:r>
          </w:p>
        </w:tc>
        <w:tc>
          <w:tcPr/>
          <w:p>
            <w:pPr>
              <w:pStyle w:val="Compact"/>
              <w:jc w:val="left"/>
            </w:pPr>
            <w:r>
              <w:t xml:space="preserve">0.166</w:t>
            </w:r>
          </w:p>
        </w:tc>
        <w:tc>
          <w:tcPr/>
          <w:p>
            <w:pPr>
              <w:pStyle w:val="Compact"/>
              <w:jc w:val="left"/>
            </w:pPr>
            <w:r>
              <w:t xml:space="preserve">0.093</w:t>
            </w:r>
          </w:p>
        </w:tc>
        <w:tc>
          <w:tcPr/>
          <w:p>
            <w:pPr>
              <w:pStyle w:val="Compact"/>
              <w:jc w:val="left"/>
            </w:pPr>
            <w:r>
              <w:t xml:space="preserve">0.150</w:t>
            </w:r>
          </w:p>
        </w:tc>
        <w:tc>
          <w:tcPr/>
          <w:p>
            <w:pPr>
              <w:pStyle w:val="Compact"/>
              <w:jc w:val="left"/>
            </w:pPr>
            <w:r>
              <w:t xml:space="preserve">0.699</w:t>
            </w:r>
          </w:p>
        </w:tc>
      </w:tr>
      <w:tr>
        <w:tc>
          <w:tcPr/>
          <w:p>
            <w:pPr>
              <w:pStyle w:val="Compact"/>
              <w:jc w:val="left"/>
            </w:pPr>
            <w:r>
              <w:t xml:space="preserve">4.25</w:t>
            </w:r>
          </w:p>
        </w:tc>
        <w:tc>
          <w:tcPr/>
          <w:p>
            <w:pPr>
              <w:pStyle w:val="Compact"/>
              <w:jc w:val="left"/>
            </w:pPr>
            <w:r>
              <w:t xml:space="preserve">0.166</w:t>
            </w:r>
          </w:p>
        </w:tc>
        <w:tc>
          <w:tcPr/>
          <w:p>
            <w:pPr>
              <w:pStyle w:val="Compact"/>
              <w:jc w:val="left"/>
            </w:pPr>
            <w:r>
              <w:t xml:space="preserve">0.060</w:t>
            </w:r>
          </w:p>
        </w:tc>
        <w:tc>
          <w:tcPr/>
          <w:p>
            <w:pPr>
              <w:pStyle w:val="Compact"/>
              <w:jc w:val="left"/>
            </w:pPr>
            <w:r>
              <w:t xml:space="preserve">0.044</w:t>
            </w:r>
          </w:p>
        </w:tc>
        <w:tc>
          <w:tcPr/>
          <w:p>
            <w:pPr>
              <w:pStyle w:val="Compact"/>
              <w:jc w:val="left"/>
            </w:pPr>
            <w:r>
              <w:t xml:space="preserve">0.833</w:t>
            </w:r>
          </w:p>
        </w:tc>
      </w:tr>
    </w:tbl>
    <w:p>
      <w:pPr>
        <w:numPr>
          <w:ilvl w:val="0"/>
          <w:numId w:val="1007"/>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0.511</w:t>
            </w:r>
          </w:p>
        </w:tc>
        <w:tc>
          <w:tcPr/>
          <w:p>
            <w:pPr>
              <w:pStyle w:val="Compact"/>
              <w:jc w:val="left"/>
            </w:pPr>
            <w:r>
              <w:t xml:space="preserve">0.000</w:t>
            </w:r>
          </w:p>
        </w:tc>
        <w:tc>
          <w:tcPr/>
          <w:p>
            <w:pPr>
              <w:pStyle w:val="Compact"/>
              <w:jc w:val="left"/>
            </w:pPr>
            <w:r>
              <w:t xml:space="preserve">14.292</w:t>
            </w:r>
          </w:p>
        </w:tc>
        <w:tc>
          <w:tcPr/>
          <w:p>
            <w:pPr>
              <w:pStyle w:val="Compact"/>
              <w:jc w:val="left"/>
            </w:pPr>
            <w:r>
              <w:t xml:space="preserve">0.0002</w:t>
            </w:r>
          </w:p>
        </w:tc>
      </w:tr>
      <w:tr>
        <w:tc>
          <w:tcPr/>
          <w:p>
            <w:pPr>
              <w:pStyle w:val="Compact"/>
              <w:jc w:val="left"/>
            </w:pPr>
            <w:r>
              <w:t xml:space="preserve">1.00</w:t>
            </w:r>
          </w:p>
        </w:tc>
        <w:tc>
          <w:tcPr/>
          <w:p>
            <w:pPr>
              <w:pStyle w:val="Compact"/>
              <w:jc w:val="left"/>
            </w:pPr>
            <w:r>
              <w:t xml:space="preserve">0.511</w:t>
            </w:r>
          </w:p>
        </w:tc>
        <w:tc>
          <w:tcPr/>
          <w:p>
            <w:pPr>
              <w:pStyle w:val="Compact"/>
              <w:jc w:val="left"/>
            </w:pPr>
            <w:r>
              <w:t xml:space="preserve">0.224</w:t>
            </w:r>
          </w:p>
        </w:tc>
        <w:tc>
          <w:tcPr/>
          <w:p>
            <w:pPr>
              <w:pStyle w:val="Compact"/>
              <w:jc w:val="left"/>
            </w:pPr>
            <w:r>
              <w:t xml:space="preserve">27.382</w:t>
            </w:r>
          </w:p>
        </w:tc>
        <w:tc>
          <w:tcPr/>
          <w:p>
            <w:pPr>
              <w:pStyle w:val="Compact"/>
              <w:jc w:val="left"/>
            </w:pPr>
            <w:r>
              <w:t xml:space="preserve">1.67E-07</w:t>
            </w:r>
          </w:p>
        </w:tc>
      </w:tr>
      <w:tr>
        <w:tc>
          <w:tcPr/>
          <w:p>
            <w:pPr>
              <w:pStyle w:val="Compact"/>
              <w:jc w:val="left"/>
            </w:pPr>
            <w:r>
              <w:t xml:space="preserve">1.42</w:t>
            </w:r>
          </w:p>
        </w:tc>
        <w:tc>
          <w:tcPr/>
          <w:p>
            <w:pPr>
              <w:pStyle w:val="Compact"/>
              <w:jc w:val="left"/>
            </w:pPr>
            <w:r>
              <w:t xml:space="preserve">0.511</w:t>
            </w:r>
          </w:p>
        </w:tc>
        <w:tc>
          <w:tcPr/>
          <w:p>
            <w:pPr>
              <w:pStyle w:val="Compact"/>
              <w:jc w:val="left"/>
            </w:pPr>
            <w:r>
              <w:t xml:space="preserve">0.118</w:t>
            </w:r>
          </w:p>
        </w:tc>
        <w:tc>
          <w:tcPr/>
          <w:p>
            <w:pPr>
              <w:pStyle w:val="Compact"/>
              <w:jc w:val="left"/>
            </w:pPr>
            <w:r>
              <w:t xml:space="preserve">13.395</w:t>
            </w:r>
          </w:p>
        </w:tc>
        <w:tc>
          <w:tcPr/>
          <w:p>
            <w:pPr>
              <w:pStyle w:val="Compact"/>
              <w:jc w:val="left"/>
            </w:pPr>
            <w:r>
              <w:t xml:space="preserve">0.0003</w:t>
            </w:r>
          </w:p>
        </w:tc>
      </w:tr>
      <w:tr>
        <w:tc>
          <w:tcPr/>
          <w:p>
            <w:pPr>
              <w:pStyle w:val="Compact"/>
              <w:jc w:val="left"/>
            </w:pPr>
            <w:r>
              <w:t xml:space="preserve">2.00</w:t>
            </w:r>
          </w:p>
        </w:tc>
        <w:tc>
          <w:tcPr/>
          <w:p>
            <w:pPr>
              <w:pStyle w:val="Compact"/>
              <w:jc w:val="left"/>
            </w:pPr>
            <w:r>
              <w:t xml:space="preserve">0.511</w:t>
            </w:r>
          </w:p>
        </w:tc>
        <w:tc>
          <w:tcPr/>
          <w:p>
            <w:pPr>
              <w:pStyle w:val="Compact"/>
              <w:jc w:val="left"/>
            </w:pPr>
            <w:r>
              <w:t xml:space="preserve">0.200</w:t>
            </w:r>
          </w:p>
        </w:tc>
        <w:tc>
          <w:tcPr/>
          <w:p>
            <w:pPr>
              <w:pStyle w:val="Compact"/>
              <w:jc w:val="left"/>
            </w:pPr>
            <w:r>
              <w:t xml:space="preserve">15.411</w:t>
            </w:r>
          </w:p>
        </w:tc>
        <w:tc>
          <w:tcPr/>
          <w:p>
            <w:pPr>
              <w:pStyle w:val="Compact"/>
              <w:jc w:val="left"/>
            </w:pPr>
            <w:r>
              <w:t xml:space="preserve">8.65E-05</w:t>
            </w:r>
          </w:p>
        </w:tc>
      </w:tr>
      <w:tr>
        <w:tc>
          <w:tcPr/>
          <w:p>
            <w:pPr>
              <w:pStyle w:val="Compact"/>
              <w:jc w:val="left"/>
            </w:pPr>
            <w:r>
              <w:t xml:space="preserve">2.84</w:t>
            </w:r>
          </w:p>
        </w:tc>
        <w:tc>
          <w:tcPr/>
          <w:p>
            <w:pPr>
              <w:pStyle w:val="Compact"/>
              <w:jc w:val="left"/>
            </w:pPr>
            <w:r>
              <w:t xml:space="preserve">0.511</w:t>
            </w:r>
          </w:p>
        </w:tc>
        <w:tc>
          <w:tcPr/>
          <w:p>
            <w:pPr>
              <w:pStyle w:val="Compact"/>
              <w:jc w:val="left"/>
            </w:pPr>
            <w:r>
              <w:t xml:space="preserve">0.124</w:t>
            </w:r>
          </w:p>
        </w:tc>
        <w:tc>
          <w:tcPr/>
          <w:p>
            <w:pPr>
              <w:pStyle w:val="Compact"/>
              <w:jc w:val="left"/>
            </w:pPr>
            <w:r>
              <w:t xml:space="preserve">5.958</w:t>
            </w:r>
          </w:p>
        </w:tc>
        <w:tc>
          <w:tcPr/>
          <w:p>
            <w:pPr>
              <w:pStyle w:val="Compact"/>
              <w:jc w:val="left"/>
            </w:pPr>
            <w:r>
              <w:t xml:space="preserve">0.0147</w:t>
            </w:r>
          </w:p>
        </w:tc>
      </w:tr>
      <w:tr>
        <w:tc>
          <w:tcPr/>
          <w:p>
            <w:pPr>
              <w:pStyle w:val="Compact"/>
              <w:jc w:val="left"/>
            </w:pPr>
            <w:r>
              <w:t xml:space="preserve">3.00</w:t>
            </w:r>
          </w:p>
        </w:tc>
        <w:tc>
          <w:tcPr/>
          <w:p>
            <w:pPr>
              <w:pStyle w:val="Compact"/>
              <w:jc w:val="left"/>
            </w:pPr>
            <w:r>
              <w:t xml:space="preserve">0.511</w:t>
            </w:r>
          </w:p>
        </w:tc>
        <w:tc>
          <w:tcPr/>
          <w:p>
            <w:pPr>
              <w:pStyle w:val="Compact"/>
              <w:jc w:val="left"/>
            </w:pPr>
            <w:r>
              <w:t xml:space="preserve">0.158</w:t>
            </w:r>
          </w:p>
        </w:tc>
        <w:tc>
          <w:tcPr/>
          <w:p>
            <w:pPr>
              <w:pStyle w:val="Compact"/>
              <w:jc w:val="left"/>
            </w:pPr>
            <w:r>
              <w:t xml:space="preserve">8.134</w:t>
            </w:r>
          </w:p>
        </w:tc>
        <w:tc>
          <w:tcPr/>
          <w:p>
            <w:pPr>
              <w:pStyle w:val="Compact"/>
              <w:jc w:val="left"/>
            </w:pPr>
            <w:r>
              <w:t xml:space="preserve">0.0043</w:t>
            </w:r>
          </w:p>
        </w:tc>
      </w:tr>
      <w:tr>
        <w:tc>
          <w:tcPr/>
          <w:p>
            <w:pPr>
              <w:pStyle w:val="Compact"/>
              <w:jc w:val="left"/>
            </w:pPr>
            <w:r>
              <w:t xml:space="preserve">4.00</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9.314</w:t>
            </w:r>
          </w:p>
        </w:tc>
        <w:tc>
          <w:tcPr/>
          <w:p>
            <w:pPr>
              <w:pStyle w:val="Compact"/>
              <w:jc w:val="left"/>
            </w:pPr>
            <w:r>
              <w:t xml:space="preserve">0.0023</w:t>
            </w:r>
          </w:p>
        </w:tc>
      </w:tr>
      <w:tr>
        <w:tc>
          <w:tcPr/>
          <w:p>
            <w:pPr>
              <w:pStyle w:val="Compact"/>
              <w:jc w:val="left"/>
            </w:pPr>
            <w:r>
              <w:t xml:space="preserve">4.25</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7.883</w:t>
            </w:r>
          </w:p>
        </w:tc>
        <w:tc>
          <w:tcPr/>
          <w:p>
            <w:pPr>
              <w:pStyle w:val="Compact"/>
              <w:jc w:val="left"/>
            </w:pPr>
            <w:r>
              <w:t xml:space="preserve">0.0050</w:t>
            </w:r>
          </w:p>
        </w:tc>
      </w:tr>
    </w:tbl>
    <w:bookmarkEnd w:id="67"/>
    <w:bookmarkStart w:id="161" w:name="literature-cited"/>
    <w:p>
      <w:pPr>
        <w:pStyle w:val="Heading1"/>
      </w:pPr>
      <w:r>
        <w:t xml:space="preserve">Literature cited</w:t>
      </w:r>
    </w:p>
    <w:bookmarkStart w:id="160" w:name="refs"/>
    <w:bookmarkStart w:id="69" w:name="ref-abang_differential_2006"/>
    <w:p>
      <w:pPr>
        <w:pStyle w:val="Bibliography"/>
      </w:pPr>
      <w:r>
        <w:t xml:space="preserve">Abang, M. M., M. Baum, S. Ceccarelli, S. Grando, C. C. Linde</w:t>
      </w:r>
      <w:r>
        <w:t xml:space="preserve"> </w:t>
      </w:r>
      <w:r>
        <w:rPr>
          <w:iCs/>
          <w:i/>
        </w:rPr>
        <w:t xml:space="preserve">et al.</w:t>
      </w:r>
      <w:r>
        <w:t xml:space="preserve">, 2006</w:t>
      </w:r>
      <w:r>
        <w:t xml:space="preserve"> </w:t>
      </w:r>
      <w:hyperlink r:id="rId68">
        <w:r>
          <w:rPr>
            <w:rStyle w:val="Hyperlink"/>
          </w:rPr>
          <w:t xml:space="preserve">Differential</w:t>
        </w:r>
        <w:r>
          <w:rPr>
            <w:rStyle w:val="Hyperlink"/>
          </w:rPr>
          <w:t xml:space="preserve"> </w:t>
        </w:r>
        <w:r>
          <w:rPr>
            <w:rStyle w:val="Hyperlink"/>
          </w:rPr>
          <w:t xml:space="preserve">Selection</w:t>
        </w:r>
        <w:r>
          <w:rPr>
            <w:rStyle w:val="Hyperlink"/>
          </w:rPr>
          <w:t xml:space="preserve"> </w:t>
        </w:r>
        <w:r>
          <w:rPr>
            <w:rStyle w:val="Hyperlink"/>
          </w:rPr>
          <w:t xml:space="preserve">on</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During</w:t>
        </w:r>
        <w:r>
          <w:rPr>
            <w:rStyle w:val="Hyperlink"/>
          </w:rPr>
          <w:t xml:space="preserve"> </w:t>
        </w:r>
        <w:r>
          <w:rPr>
            <w:rStyle w:val="Hyperlink"/>
          </w:rPr>
          <w:t xml:space="preserve">Parasitic</w:t>
        </w:r>
        <w:r>
          <w:rPr>
            <w:rStyle w:val="Hyperlink"/>
          </w:rPr>
          <w:t xml:space="preserve"> </w:t>
        </w:r>
        <w:r>
          <w:rPr>
            <w:rStyle w:val="Hyperlink"/>
          </w:rPr>
          <w:t xml:space="preserve">and</w:t>
        </w:r>
        <w:r>
          <w:rPr>
            <w:rStyle w:val="Hyperlink"/>
          </w:rPr>
          <w:t xml:space="preserve"> </w:t>
        </w:r>
        <w:r>
          <w:rPr>
            <w:rStyle w:val="Hyperlink"/>
          </w:rPr>
          <w:t xml:space="preserve">Saprophytic</w:t>
        </w:r>
        <w:r>
          <w:rPr>
            <w:rStyle w:val="Hyperlink"/>
          </w:rPr>
          <w:t xml:space="preserve"> </w:t>
        </w:r>
        <w:r>
          <w:rPr>
            <w:rStyle w:val="Hyperlink"/>
          </w:rPr>
          <w:t xml:space="preserve">Phases</w:t>
        </w:r>
        <w:r>
          <w:rPr>
            <w:rStyle w:val="Hyperlink"/>
          </w:rPr>
          <w:t xml:space="preserve"> </w:t>
        </w:r>
        <w:r>
          <w:rPr>
            <w:rStyle w:val="Hyperlink"/>
          </w:rPr>
          <w:t xml:space="preserve">in the</w:t>
        </w:r>
        <w:r>
          <w:rPr>
            <w:rStyle w:val="Hyperlink"/>
          </w:rPr>
          <w:t xml:space="preserve"> </w:t>
        </w:r>
        <w:r>
          <w:rPr>
            <w:rStyle w:val="Hyperlink"/>
          </w:rPr>
          <w:t xml:space="preserve">Barley</w:t>
        </w:r>
        <w:r>
          <w:rPr>
            <w:rStyle w:val="Hyperlink"/>
          </w:rPr>
          <w:t xml:space="preserve"> </w:t>
        </w:r>
        <w:r>
          <w:rPr>
            <w:rStyle w:val="Hyperlink"/>
          </w:rPr>
          <w:t xml:space="preserve">Scald</w:t>
        </w:r>
        <w:r>
          <w:rPr>
            <w:rStyle w:val="Hyperlink"/>
          </w:rPr>
          <w:t xml:space="preserve"> </w:t>
        </w:r>
        <w:r>
          <w:rPr>
            <w:rStyle w:val="Hyperlink"/>
          </w:rPr>
          <w:t xml:space="preserve">Disease</w:t>
        </w:r>
        <w:r>
          <w:rPr>
            <w:rStyle w:val="Hyperlink"/>
          </w:rPr>
          <w:t xml:space="preserve"> </w:t>
        </w:r>
        <w:r>
          <w:rPr>
            <w:rStyle w:val="Hyperlink"/>
          </w:rPr>
          <w:t xml:space="preserve">Cycle</w:t>
        </w:r>
      </w:hyperlink>
      <w:r>
        <w:t xml:space="preserve">. Phytopathology® 96: 1214–1222.</w:t>
      </w:r>
    </w:p>
    <w:bookmarkEnd w:id="69"/>
    <w:bookmarkStart w:id="71" w:name="ref-ayres_beagle_2019"/>
    <w:p>
      <w:pPr>
        <w:pStyle w:val="Bibliography"/>
      </w:pPr>
      <w:r>
        <w:t xml:space="preserve">Ayres, D. L., M. P. Cummings, G. Baele, A. E. Darling, P. O. Lewis</w:t>
      </w:r>
      <w:r>
        <w:t xml:space="preserve"> </w:t>
      </w:r>
      <w:r>
        <w:rPr>
          <w:iCs/>
          <w:i/>
        </w:rPr>
        <w:t xml:space="preserve">et al.</w:t>
      </w:r>
      <w:r>
        <w:t xml:space="preserve">, 2019</w:t>
      </w:r>
      <w:r>
        <w:t xml:space="preserve"> </w:t>
      </w:r>
      <w:hyperlink r:id="rId70">
        <w:r>
          <w:rPr>
            <w:rStyle w:val="Hyperlink"/>
          </w:rPr>
          <w:t xml:space="preserve">BEAGLE</w:t>
        </w:r>
        <w:r>
          <w:rPr>
            <w:rStyle w:val="Hyperlink"/>
          </w:rPr>
          <w:t xml:space="preserve"> </w:t>
        </w:r>
        <w:r>
          <w:rPr>
            <w:rStyle w:val="Hyperlink"/>
          </w:rPr>
          <w:t xml:space="preserve">3:</w:t>
        </w:r>
        <w:r>
          <w:rPr>
            <w:rStyle w:val="Hyperlink"/>
          </w:rPr>
          <w:t xml:space="preserve"> </w:t>
        </w:r>
        <w:r>
          <w:rPr>
            <w:rStyle w:val="Hyperlink"/>
          </w:rPr>
          <w:t xml:space="preserve">Improved</w:t>
        </w:r>
        <w:r>
          <w:rPr>
            <w:rStyle w:val="Hyperlink"/>
          </w:rPr>
          <w:t xml:space="preserve"> </w:t>
        </w:r>
        <w:r>
          <w:rPr>
            <w:rStyle w:val="Hyperlink"/>
          </w:rPr>
          <w:t xml:space="preserve">Performance</w:t>
        </w:r>
        <w:r>
          <w:rPr>
            <w:rStyle w:val="Hyperlink"/>
          </w:rPr>
          <w:t xml:space="preserve">,</w:t>
        </w:r>
        <w:r>
          <w:rPr>
            <w:rStyle w:val="Hyperlink"/>
          </w:rPr>
          <w:t xml:space="preserve"> </w:t>
        </w:r>
        <w:r>
          <w:rPr>
            <w:rStyle w:val="Hyperlink"/>
          </w:rPr>
          <w:t xml:space="preserve">Scaling</w:t>
        </w:r>
        <w:r>
          <w:rPr>
            <w:rStyle w:val="Hyperlink"/>
          </w:rPr>
          <w:t xml:space="preserve">, and</w:t>
        </w:r>
        <w:r>
          <w:rPr>
            <w:rStyle w:val="Hyperlink"/>
          </w:rPr>
          <w:t xml:space="preserve"> </w:t>
        </w:r>
        <w:r>
          <w:rPr>
            <w:rStyle w:val="Hyperlink"/>
          </w:rPr>
          <w:t xml:space="preserve">Usability</w:t>
        </w:r>
        <w:r>
          <w:rPr>
            <w:rStyle w:val="Hyperlink"/>
          </w:rPr>
          <w:t xml:space="preserve"> </w:t>
        </w:r>
        <w:r>
          <w:rPr>
            <w:rStyle w:val="Hyperlink"/>
          </w:rPr>
          <w:t xml:space="preserve">for a</w:t>
        </w:r>
        <w:r>
          <w:rPr>
            <w:rStyle w:val="Hyperlink"/>
          </w:rPr>
          <w:t xml:space="preserve"> </w:t>
        </w:r>
        <w:r>
          <w:rPr>
            <w:rStyle w:val="Hyperlink"/>
          </w:rPr>
          <w:t xml:space="preserve">High</w:t>
        </w:r>
        <w:r>
          <w:rPr>
            <w:rStyle w:val="Hyperlink"/>
          </w:rPr>
          <w:t xml:space="preserve">-</w:t>
        </w:r>
        <w:r>
          <w:rPr>
            <w:rStyle w:val="Hyperlink"/>
          </w:rPr>
          <w:t xml:space="preserve">Performance</w:t>
        </w:r>
        <w:r>
          <w:rPr>
            <w:rStyle w:val="Hyperlink"/>
          </w:rPr>
          <w:t xml:space="preserve"> </w:t>
        </w:r>
        <w:r>
          <w:rPr>
            <w:rStyle w:val="Hyperlink"/>
          </w:rPr>
          <w:t xml:space="preserve">Computing</w:t>
        </w:r>
        <w:r>
          <w:rPr>
            <w:rStyle w:val="Hyperlink"/>
          </w:rPr>
          <w:t xml:space="preserve"> </w:t>
        </w:r>
        <w:r>
          <w:rPr>
            <w:rStyle w:val="Hyperlink"/>
          </w:rPr>
          <w:t xml:space="preserve">Library</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Phylogenetics</w:t>
        </w:r>
      </w:hyperlink>
      <w:r>
        <w:t xml:space="preserve"> </w:t>
      </w:r>
      <w:r>
        <w:t xml:space="preserve">(D. Posada, Ed.). Systematic Biology 68: 1052–1061.</w:t>
      </w:r>
    </w:p>
    <w:bookmarkEnd w:id="71"/>
    <w:bookmarkStart w:id="73" w:name="ref-behera_identifying_2024"/>
    <w:p>
      <w:pPr>
        <w:pStyle w:val="Bibliography"/>
      </w:pPr>
      <w:r>
        <w:t xml:space="preserve">Behera, P. P., A. Singode, B. V. Bhat, N. Borah, H. Verma</w:t>
      </w:r>
      <w:r>
        <w:t xml:space="preserve"> </w:t>
      </w:r>
      <w:r>
        <w:rPr>
          <w:iCs/>
          <w:i/>
        </w:rPr>
        <w:t xml:space="preserve">et al.</w:t>
      </w:r>
      <w:r>
        <w:t xml:space="preserve">, 2024</w:t>
      </w:r>
      <w:r>
        <w:t xml:space="preserve"> </w:t>
      </w:r>
      <w:hyperlink r:id="rId72">
        <w:r>
          <w:rPr>
            <w:rStyle w:val="Hyperlink"/>
          </w:rPr>
          <w:t xml:space="preserve">Identifying genetic determinants of forage sorghum [</w:t>
        </w:r>
        <w:r>
          <w:rPr>
            <w:rStyle w:val="Hyperlink"/>
          </w:rPr>
          <w:t xml:space="preserve">Sorghum</w:t>
        </w:r>
        <w:r>
          <w:rPr>
            <w:rStyle w:val="Hyperlink"/>
          </w:rPr>
          <w:t xml:space="preserve"> </w:t>
        </w:r>
        <w:r>
          <w:rPr>
            <w:rStyle w:val="Hyperlink"/>
          </w:rPr>
          <w:t xml:space="preserve">bicolor (</w:t>
        </w:r>
        <w:r>
          <w:rPr>
            <w:rStyle w:val="Hyperlink"/>
          </w:rPr>
          <w:t xml:space="preserve">Moench</w:t>
        </w:r>
        <w:r>
          <w:rPr>
            <w:rStyle w:val="Hyperlink"/>
          </w:rPr>
          <w:t xml:space="preserve">)] adaptation through</w:t>
        </w:r>
        <w:r>
          <w:rPr>
            <w:rStyle w:val="Hyperlink"/>
          </w:rPr>
          <w:t xml:space="preserve"> </w:t>
        </w:r>
        <w:r>
          <w:rPr>
            <w:rStyle w:val="Hyperlink"/>
          </w:rPr>
          <w:t xml:space="preserve">GWAS</w:t>
        </w:r>
      </w:hyperlink>
      <w:r>
        <w:t xml:space="preserve">. BMC Plant Biology 24: 1043.</w:t>
      </w:r>
    </w:p>
    <w:bookmarkEnd w:id="73"/>
    <w:bookmarkStart w:id="75" w:name="ref-clare_research_2020"/>
    <w:p>
      <w:pPr>
        <w:pStyle w:val="Bibliography"/>
      </w:pPr>
      <w:r>
        <w:t xml:space="preserve">Clare, S. J., N. A. Wyatt, R. S. Brueggeman, and T. L. Friesen, 2020</w:t>
      </w:r>
      <w:r>
        <w:t xml:space="preserve"> </w:t>
      </w:r>
      <w:hyperlink r:id="rId74">
        <w:r>
          <w:rPr>
            <w:rStyle w:val="Hyperlink"/>
          </w:rPr>
          <w:t xml:space="preserve">Research advances in the</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barley interaction</w:t>
        </w:r>
      </w:hyperlink>
      <w:r>
        <w:t xml:space="preserve">. Molecular Plant Pathology 21: 272–288.</w:t>
      </w:r>
    </w:p>
    <w:bookmarkEnd w:id="75"/>
    <w:bookmarkStart w:id="77" w:name="ref-costa_e_silva_accounting_2013"/>
    <w:p>
      <w:pPr>
        <w:pStyle w:val="Bibliography"/>
      </w:pPr>
      <w:r>
        <w:t xml:space="preserve">Costa e Silva, J., and R. J. Kerr, 2013</w:t>
      </w:r>
      <w:r>
        <w:t xml:space="preserve"> </w:t>
      </w:r>
      <w:hyperlink r:id="rId76">
        <w:r>
          <w:rPr>
            <w:rStyle w:val="Hyperlink"/>
          </w:rPr>
          <w:t xml:space="preserve">Accounting for competition in genetic analysis, with particular emphasis on forest genetic trials</w:t>
        </w:r>
      </w:hyperlink>
      <w:r>
        <w:t xml:space="preserve">. Tree Genetics &amp; Genomes 9: 1–17.</w:t>
      </w:r>
    </w:p>
    <w:bookmarkEnd w:id="77"/>
    <w:bookmarkStart w:id="79" w:name="ref-costa_e_silva_genetic-based_2017"/>
    <w:p>
      <w:pPr>
        <w:pStyle w:val="Bibliography"/>
      </w:pPr>
      <w:r>
        <w:t xml:space="preserve">Costa e Silva, J., B. M. Potts, A. R. Gilmour, and R. J. Kerr, 2017</w:t>
      </w:r>
      <w:r>
        <w:t xml:space="preserve"> </w:t>
      </w:r>
      <w:hyperlink r:id="rId78">
        <w:r>
          <w:rPr>
            <w:rStyle w:val="Hyperlink"/>
          </w:rPr>
          <w:t xml:space="preserve">Genetic-based interactions among tree neighbors: Identification of the most influential neighbors, and estimation of correlations among direct and indirect genetic effects for leaf disease and growth in</w:t>
        </w:r>
        <w:r>
          <w:rPr>
            <w:rStyle w:val="Hyperlink"/>
          </w:rPr>
          <w:t xml:space="preserve"> </w:t>
        </w:r>
        <w:r>
          <w:rPr>
            <w:rStyle w:val="Hyperlink"/>
          </w:rPr>
          <w:t xml:space="preserve">Eucalyptus</w:t>
        </w:r>
        <w:r>
          <w:rPr>
            <w:rStyle w:val="Hyperlink"/>
          </w:rPr>
          <w:t xml:space="preserve"> </w:t>
        </w:r>
        <w:r>
          <w:rPr>
            <w:rStyle w:val="Hyperlink"/>
          </w:rPr>
          <w:t xml:space="preserve">globulus</w:t>
        </w:r>
      </w:hyperlink>
      <w:r>
        <w:t xml:space="preserve">. Heredity 119: 125–135.</w:t>
      </w:r>
    </w:p>
    <w:bookmarkEnd w:id="79"/>
    <w:bookmarkStart w:id="81" w:name="ref-cui_genome-wide_2016"/>
    <w:p>
      <w:pPr>
        <w:pStyle w:val="Bibliography"/>
      </w:pPr>
      <w:r>
        <w:t xml:space="preserve">Cui, Z., J. Luo, C. Qi, Y. Ruan, J. Li</w:t>
      </w:r>
      <w:r>
        <w:t xml:space="preserve"> </w:t>
      </w:r>
      <w:r>
        <w:rPr>
          <w:iCs/>
          <w:i/>
        </w:rPr>
        <w:t xml:space="preserve">et al.</w:t>
      </w:r>
      <w:r>
        <w:t xml:space="preserve">, 2016</w:t>
      </w:r>
      <w:r>
        <w:t xml:space="preserve"> </w:t>
      </w:r>
      <w:hyperlink r:id="rId80">
        <w:r>
          <w:rPr>
            <w:rStyle w:val="Hyperlink"/>
          </w:rPr>
          <w:t xml:space="preserve">Genome-wide association study (</w:t>
        </w:r>
        <w:r>
          <w:rPr>
            <w:rStyle w:val="Hyperlink"/>
          </w:rPr>
          <w:t xml:space="preserve">GWAS</w:t>
        </w:r>
        <w:r>
          <w:rPr>
            <w:rStyle w:val="Hyperlink"/>
          </w:rPr>
          <w:t xml:space="preserve">) reveals the genetic architecture of four husk traits in maize</w:t>
        </w:r>
      </w:hyperlink>
      <w:r>
        <w:t xml:space="preserve">. BMC Genomics 17: 946.</w:t>
      </w:r>
    </w:p>
    <w:bookmarkEnd w:id="81"/>
    <w:bookmarkStart w:id="83" w:name="ref-dahlin_pest_2018"/>
    <w:p>
      <w:pPr>
        <w:pStyle w:val="Bibliography"/>
      </w:pPr>
      <w:r>
        <w:t xml:space="preserve">Dahlin, I., D. Rubene, R. Glinwood, and V. Ninkovic, 2018</w:t>
      </w:r>
      <w:r>
        <w:t xml:space="preserve"> </w:t>
      </w:r>
      <w:hyperlink r:id="rId82">
        <w:r>
          <w:rPr>
            <w:rStyle w:val="Hyperlink"/>
          </w:rPr>
          <w:t xml:space="preserve">Pest suppression in cultivar mixtures is influenced by neighbor-specific plant-plant communication</w:t>
        </w:r>
      </w:hyperlink>
      <w:r>
        <w:t xml:space="preserve">. Ecological Applications 28: 2187–2196.</w:t>
      </w:r>
    </w:p>
    <w:bookmarkEnd w:id="83"/>
    <w:bookmarkStart w:id="85" w:name="ref-gilmour_accounting_1997"/>
    <w:p>
      <w:pPr>
        <w:pStyle w:val="Bibliography"/>
      </w:pPr>
      <w:r>
        <w:t xml:space="preserve">Gilmour, A. R., B. R. Cullis, A. P. Verbyla, and A. P. Verbyla, 1997</w:t>
      </w:r>
      <w:r>
        <w:t xml:space="preserve"> </w:t>
      </w:r>
      <w:hyperlink r:id="rId84">
        <w:r>
          <w:rPr>
            <w:rStyle w:val="Hyperlink"/>
          </w:rPr>
          <w:t xml:space="preserve">Accounting for</w:t>
        </w:r>
        <w:r>
          <w:rPr>
            <w:rStyle w:val="Hyperlink"/>
          </w:rPr>
          <w:t xml:space="preserve"> </w:t>
        </w:r>
        <w:r>
          <w:rPr>
            <w:rStyle w:val="Hyperlink"/>
          </w:rPr>
          <w:t xml:space="preserve">Natural</w:t>
        </w:r>
        <w:r>
          <w:rPr>
            <w:rStyle w:val="Hyperlink"/>
          </w:rPr>
          <w:t xml:space="preserve"> </w:t>
        </w:r>
        <w:r>
          <w:rPr>
            <w:rStyle w:val="Hyperlink"/>
          </w:rPr>
          <w:t xml:space="preserve">and</w:t>
        </w:r>
        <w:r>
          <w:rPr>
            <w:rStyle w:val="Hyperlink"/>
          </w:rPr>
          <w:t xml:space="preserve"> </w:t>
        </w:r>
        <w:r>
          <w:rPr>
            <w:rStyle w:val="Hyperlink"/>
          </w:rPr>
          <w:t xml:space="preserve">Extraneous</w:t>
        </w:r>
        <w:r>
          <w:rPr>
            <w:rStyle w:val="Hyperlink"/>
          </w:rPr>
          <w:t xml:space="preserve"> </w:t>
        </w:r>
        <w:r>
          <w:rPr>
            <w:rStyle w:val="Hyperlink"/>
          </w:rPr>
          <w:t xml:space="preserve">Variation</w:t>
        </w:r>
        <w:r>
          <w:rPr>
            <w:rStyle w:val="Hyperlink"/>
          </w:rPr>
          <w:t xml:space="preserve"> </w:t>
        </w:r>
        <w:r>
          <w:rPr>
            <w:rStyle w:val="Hyperlink"/>
          </w:rPr>
          <w:t xml:space="preserve">in the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Field</w:t>
        </w:r>
        <w:r>
          <w:rPr>
            <w:rStyle w:val="Hyperlink"/>
          </w:rPr>
          <w:t xml:space="preserve"> </w:t>
        </w:r>
        <w:r>
          <w:rPr>
            <w:rStyle w:val="Hyperlink"/>
          </w:rPr>
          <w:t xml:space="preserve">Experiments</w:t>
        </w:r>
      </w:hyperlink>
      <w:r>
        <w:t xml:space="preserve">. Journal of Agricultural, Biological, and Environmental Statistics 2: 269.</w:t>
      </w:r>
    </w:p>
    <w:bookmarkEnd w:id="85"/>
    <w:bookmarkStart w:id="87" w:name="ref-kong_identification_2015"/>
    <w:p>
      <w:pPr>
        <w:pStyle w:val="Bibliography"/>
      </w:pPr>
      <w:r>
        <w:t xml:space="preserve">Kong, D., M. Li, Z. Dong, H. Ji, and X. Li, 2015</w:t>
      </w:r>
      <w:r>
        <w:t xml:space="preserve"> </w:t>
      </w:r>
      <w:hyperlink r:id="rId86">
        <w:r>
          <w:rPr>
            <w:rStyle w:val="Hyperlink"/>
          </w:rPr>
          <w:t xml:space="preserve">Identification of</w:t>
        </w:r>
        <w:r>
          <w:rPr>
            <w:rStyle w:val="Hyperlink"/>
          </w:rPr>
          <w:t xml:space="preserve"> </w:t>
        </w:r>
        <w:r>
          <w:rPr>
            <w:rStyle w:val="Hyperlink"/>
          </w:rPr>
          <w:t xml:space="preserve">TaWD40D</w:t>
        </w:r>
        <w:r>
          <w:rPr>
            <w:rStyle w:val="Hyperlink"/>
          </w:rPr>
          <w:t xml:space="preserve">, a wheat</w:t>
        </w:r>
        <w:r>
          <w:rPr>
            <w:rStyle w:val="Hyperlink"/>
          </w:rPr>
          <w:t xml:space="preserve"> </w:t>
        </w:r>
        <w:r>
          <w:rPr>
            <w:rStyle w:val="Hyperlink"/>
          </w:rPr>
          <w:t xml:space="preserve">WD40</w:t>
        </w:r>
        <w:r>
          <w:rPr>
            <w:rStyle w:val="Hyperlink"/>
          </w:rPr>
          <w:t xml:space="preserve"> </w:t>
        </w:r>
        <w:r>
          <w:rPr>
            <w:rStyle w:val="Hyperlink"/>
          </w:rPr>
          <w:t xml:space="preserve">repeat-containing protein that is associated with plant tolerance to abiotic stresses</w:t>
        </w:r>
      </w:hyperlink>
      <w:r>
        <w:t xml:space="preserve">. Plant Cell Reports 34: 395–410.</w:t>
      </w:r>
    </w:p>
    <w:bookmarkEnd w:id="87"/>
    <w:bookmarkStart w:id="89" w:name="ref-korte_advantages_2013"/>
    <w:p>
      <w:pPr>
        <w:pStyle w:val="Bibliography"/>
      </w:pPr>
      <w:r>
        <w:t xml:space="preserve">Korte, A., and A. Farlow, 2013</w:t>
      </w:r>
      <w:r>
        <w:t xml:space="preserve"> </w:t>
      </w:r>
      <w:hyperlink r:id="rId88">
        <w:r>
          <w:rPr>
            <w:rStyle w:val="Hyperlink"/>
          </w:rPr>
          <w:t xml:space="preserve">The advantages and limitations of trait analysis with</w:t>
        </w:r>
        <w:r>
          <w:rPr>
            <w:rStyle w:val="Hyperlink"/>
          </w:rPr>
          <w:t xml:space="preserve"> </w:t>
        </w:r>
        <w:r>
          <w:rPr>
            <w:rStyle w:val="Hyperlink"/>
          </w:rPr>
          <w:t xml:space="preserve">GWAS</w:t>
        </w:r>
        <w:r>
          <w:rPr>
            <w:rStyle w:val="Hyperlink"/>
          </w:rPr>
          <w:t xml:space="preserve">: A review</w:t>
        </w:r>
      </w:hyperlink>
      <w:r>
        <w:t xml:space="preserve">. Plant Methods 9: 29.</w:t>
      </w:r>
    </w:p>
    <w:bookmarkEnd w:id="89"/>
    <w:bookmarkStart w:id="91" w:name="ref-kunze_genomewide_2024"/>
    <w:p>
      <w:pPr>
        <w:pStyle w:val="Bibliography"/>
      </w:pPr>
      <w:r>
        <w:t xml:space="preserve">Kunze, K. H., B. Meints, C. Massman, L. Gutiérrez, P. M. Hayes</w:t>
      </w:r>
      <w:r>
        <w:t xml:space="preserve"> </w:t>
      </w:r>
      <w:r>
        <w:rPr>
          <w:iCs/>
          <w:i/>
        </w:rPr>
        <w:t xml:space="preserve">et al.</w:t>
      </w:r>
      <w:r>
        <w:t xml:space="preserve">, 2024</w:t>
      </w:r>
      <w:r>
        <w:t xml:space="preserve"> </w:t>
      </w:r>
      <w:hyperlink r:id="rId90">
        <w:r>
          <w:rPr>
            <w:rStyle w:val="Hyperlink"/>
          </w:rPr>
          <w:t xml:space="preserve">Genome‐wide association of an organic naked barley diversity panel identified quantitative trait loci for disease resistance</w:t>
        </w:r>
      </w:hyperlink>
      <w:r>
        <w:t xml:space="preserve">. The Plant Genome 17: e20530.</w:t>
      </w:r>
    </w:p>
    <w:bookmarkEnd w:id="91"/>
    <w:bookmarkStart w:id="93" w:name="ref-liu_pyrenophora_2011"/>
    <w:p>
      <w:pPr>
        <w:pStyle w:val="Bibliography"/>
      </w:pPr>
      <w:r>
        <w:t xml:space="preserve">Liu, Z., S. R. Ellwood, R. P. Oliver, and T. L. Friesen, 2011</w:t>
      </w:r>
      <w:r>
        <w:t xml:space="preserve"> </w:t>
      </w:r>
      <w:hyperlink r:id="rId92">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 Profile of an increasingly damaging barley pathogen</w:t>
        </w:r>
      </w:hyperlink>
      <w:r>
        <w:t xml:space="preserve">. Molecular Plant Pathology 12: 1–19.</w:t>
      </w:r>
    </w:p>
    <w:bookmarkEnd w:id="93"/>
    <w:bookmarkStart w:id="95" w:name="ref-liu_wheat_2019"/>
    <w:p>
      <w:pPr>
        <w:pStyle w:val="Bibliography"/>
      </w:pPr>
      <w:r>
        <w:t xml:space="preserve">Liu, J., P. Zhi, X. Wang, Q. Fan, and C. Chang, 2019</w:t>
      </w:r>
      <w:r>
        <w:t xml:space="preserve"> </w:t>
      </w:r>
      <w:hyperlink r:id="rId94">
        <w:r>
          <w:rPr>
            <w:rStyle w:val="Hyperlink"/>
          </w:rPr>
          <w:t xml:space="preserve">Wheat</w:t>
        </w:r>
        <w:r>
          <w:rPr>
            <w:rStyle w:val="Hyperlink"/>
          </w:rPr>
          <w:t xml:space="preserve"> </w:t>
        </w:r>
        <w:r>
          <w:rPr>
            <w:rStyle w:val="Hyperlink"/>
          </w:rPr>
          <w:t xml:space="preserve">WD40</w:t>
        </w:r>
        <w:r>
          <w:rPr>
            <w:rStyle w:val="Hyperlink"/>
          </w:rPr>
          <w:t xml:space="preserve">-repeat protein</w:t>
        </w:r>
        <w:r>
          <w:rPr>
            <w:rStyle w:val="Hyperlink"/>
          </w:rPr>
          <w:t xml:space="preserve"> </w:t>
        </w:r>
        <w:r>
          <w:rPr>
            <w:rStyle w:val="Hyperlink"/>
          </w:rPr>
          <w:t xml:space="preserve">TaHOS15</w:t>
        </w:r>
        <w:r>
          <w:rPr>
            <w:rStyle w:val="Hyperlink"/>
          </w:rPr>
          <w:t xml:space="preserve"> </w:t>
        </w:r>
        <w:r>
          <w:rPr>
            <w:rStyle w:val="Hyperlink"/>
          </w:rPr>
          <w:t xml:space="preserve">functions in a histone deacetylase complex to fine-tune defense responses to</w:t>
        </w:r>
        <w:r>
          <w:rPr>
            <w:rStyle w:val="Hyperlink"/>
          </w:rPr>
          <w:t xml:space="preserve"> </w:t>
        </w:r>
        <w:r>
          <w:rPr>
            <w:rStyle w:val="Hyperlink"/>
            <w:iCs/>
            <w:i/>
          </w:rPr>
          <w:t xml:space="preserve">Blumeria</w:t>
        </w:r>
        <w:r>
          <w:rPr>
            <w:rStyle w:val="Hyperlink"/>
            <w:iCs/>
            <w:i/>
          </w:rPr>
          <w:t xml:space="preserve"> </w:t>
        </w:r>
        <w:r>
          <w:rPr>
            <w:rStyle w:val="Hyperlink"/>
            <w:iCs/>
            <w:i/>
          </w:rPr>
          <w:t xml:space="preserve">graminis</w:t>
        </w:r>
        <w:r>
          <w:rPr>
            <w:rStyle w:val="Hyperlink"/>
          </w:rPr>
          <w:t xml:space="preserve"> </w:t>
        </w:r>
        <w:r>
          <w:rPr>
            <w:rStyle w:val="Hyperlink"/>
          </w:rPr>
          <w:t xml:space="preserve">f.sp.</w:t>
        </w:r>
        <w:r>
          <w:rPr>
            <w:rStyle w:val="Hyperlink"/>
          </w:rPr>
          <w:t xml:space="preserve"> </w:t>
        </w:r>
        <w:r>
          <w:rPr>
            <w:rStyle w:val="Hyperlink"/>
            <w:iCs/>
            <w:i/>
          </w:rPr>
          <w:t xml:space="preserve">Tritici</w:t>
        </w:r>
      </w:hyperlink>
      <w:r>
        <w:t xml:space="preserve">. Journal of Experimental Botany 70: 255–268.</w:t>
      </w:r>
    </w:p>
    <w:bookmarkEnd w:id="95"/>
    <w:bookmarkStart w:id="97" w:name="ref-mascher_long-read_2021"/>
    <w:p>
      <w:pPr>
        <w:pStyle w:val="Bibliography"/>
      </w:pPr>
      <w:r>
        <w:t xml:space="preserve">Mascher, M., T. Wicker, J. Jenkins, C. Plott, T. Lux</w:t>
      </w:r>
      <w:r>
        <w:t xml:space="preserve"> </w:t>
      </w:r>
      <w:r>
        <w:rPr>
          <w:iCs/>
          <w:i/>
        </w:rPr>
        <w:t xml:space="preserve">et al.</w:t>
      </w:r>
      <w:r>
        <w:t xml:space="preserve">, 2021</w:t>
      </w:r>
      <w:r>
        <w:t xml:space="preserve"> </w:t>
      </w:r>
      <w:hyperlink r:id="rId96">
        <w:r>
          <w:rPr>
            <w:rStyle w:val="Hyperlink"/>
          </w:rPr>
          <w:t xml:space="preserve">Long-read sequence assembly: A technical evaluation in barley</w:t>
        </w:r>
      </w:hyperlink>
      <w:r>
        <w:t xml:space="preserve">. The Plant Cell 33: 1888–1906.</w:t>
      </w:r>
    </w:p>
    <w:bookmarkEnd w:id="97"/>
    <w:bookmarkStart w:id="99" w:name="ref-montazeaud_cultivar_2022"/>
    <w:p>
      <w:pPr>
        <w:pStyle w:val="Bibliography"/>
      </w:pPr>
      <w:r>
        <w:t xml:space="preserve">Montazeaud, G., T. Flutre, E. Ballini, J. Morel, J. David</w:t>
      </w:r>
      <w:r>
        <w:t xml:space="preserve"> </w:t>
      </w:r>
      <w:r>
        <w:rPr>
          <w:iCs/>
          <w:i/>
        </w:rPr>
        <w:t xml:space="preserve">et al.</w:t>
      </w:r>
      <w:r>
        <w:t xml:space="preserve">, 2022</w:t>
      </w:r>
      <w:r>
        <w:t xml:space="preserve"> </w:t>
      </w:r>
      <w:hyperlink r:id="rId98">
        <w:r>
          <w:rPr>
            <w:rStyle w:val="Hyperlink"/>
          </w:rPr>
          <w:t xml:space="preserve">From cultivar mixtures to allelic mixtures: Opposite effects of allelic richness between genotypes and genotype richness in wheat</w:t>
        </w:r>
      </w:hyperlink>
      <w:r>
        <w:t xml:space="preserve">. New Phytologist 233: 2573–2584.</w:t>
      </w:r>
    </w:p>
    <w:bookmarkEnd w:id="99"/>
    <w:bookmarkStart w:id="101" w:name="ref-montazeaud_indirect_2023"/>
    <w:p>
      <w:pPr>
        <w:pStyle w:val="Bibliography"/>
      </w:pPr>
      <w:r>
        <w:t xml:space="preserve">Montazeaud, G., Q. Helleu, S. E. Wuest, and L. Keller, 2023</w:t>
      </w:r>
      <w:r>
        <w:t xml:space="preserve"> </w:t>
      </w:r>
      <w:hyperlink r:id="rId100">
        <w:r>
          <w:rPr>
            <w:rStyle w:val="Hyperlink"/>
          </w:rPr>
          <w:t xml:space="preserve">Indirect genetic effects are shaped by demographic history and ecology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7: 1878–1891.</w:t>
      </w:r>
    </w:p>
    <w:bookmarkEnd w:id="101"/>
    <w:bookmarkStart w:id="103" w:name="ref-mundt_use_2002"/>
    <w:p>
      <w:pPr>
        <w:pStyle w:val="Bibliography"/>
      </w:pPr>
      <w:r>
        <w:t xml:space="preserve">Mundt, C. C., 2002</w:t>
      </w:r>
      <w:r>
        <w:t xml:space="preserve"> </w:t>
      </w:r>
      <w:hyperlink r:id="rId102">
        <w:r>
          <w:rPr>
            <w:rStyle w:val="Hyperlink"/>
          </w:rPr>
          <w:t xml:space="preserve">Use of multiline cultivars and cultivar mixtures for disease management.</w:t>
        </w:r>
      </w:hyperlink>
      <w:r>
        <w:t xml:space="preserve"> Annual Review of Phytopathology 40: 381–410.</w:t>
      </w:r>
    </w:p>
    <w:bookmarkEnd w:id="103"/>
    <w:bookmarkStart w:id="105" w:name="ref-novakazi_genetic_2019"/>
    <w:p>
      <w:pPr>
        <w:pStyle w:val="Bibliography"/>
      </w:pPr>
      <w:r>
        <w:t xml:space="preserve">Novakazi, F., O. Afanasenko, A. Anisimova, G. J. Platz, R. Snowdon</w:t>
      </w:r>
      <w:r>
        <w:t xml:space="preserve"> </w:t>
      </w:r>
      <w:r>
        <w:rPr>
          <w:iCs/>
          <w:i/>
        </w:rPr>
        <w:t xml:space="preserve">et al.</w:t>
      </w:r>
      <w:r>
        <w:t xml:space="preserve">, 2019</w:t>
      </w:r>
      <w:r>
        <w:t xml:space="preserve"> </w:t>
      </w:r>
      <w:hyperlink r:id="rId104">
        <w:r>
          <w:rPr>
            <w:rStyle w:val="Hyperlink"/>
          </w:rPr>
          <w:t xml:space="preserve">Genetic analysis of a worldwide barley collection for resistance to net form of net blotch disease (</w:t>
        </w:r>
        <w:r>
          <w:rPr>
            <w:rStyle w:val="Hyperlink"/>
          </w:rPr>
          <w:t xml:space="preserve">Pyrenophora</w:t>
        </w:r>
        <w:r>
          <w:rPr>
            <w:rStyle w:val="Hyperlink"/>
          </w:rPr>
          <w:t xml:space="preserve"> </w:t>
        </w:r>
        <w:r>
          <w:rPr>
            <w:rStyle w:val="Hyperlink"/>
          </w:rPr>
          <w:t xml:space="preserve">teres f. teres)</w:t>
        </w:r>
      </w:hyperlink>
      <w:r>
        <w:t xml:space="preserve">. Theoretical and Applied Genetics 132: 2633–2650.</w:t>
      </w:r>
    </w:p>
    <w:bookmarkEnd w:id="105"/>
    <w:bookmarkStart w:id="107" w:name="ref-oakey_joint_2006"/>
    <w:p>
      <w:pPr>
        <w:pStyle w:val="Bibliography"/>
      </w:pPr>
      <w:r>
        <w:t xml:space="preserve">Oakey, H., A. Verbyla, W. Pitchford, B. Cullis, and H. Kuchel, 2006</w:t>
      </w:r>
      <w:r>
        <w:t xml:space="preserve"> </w:t>
      </w:r>
      <w:hyperlink r:id="rId106">
        <w:r>
          <w:rPr>
            <w:rStyle w:val="Hyperlink"/>
          </w:rPr>
          <w:t xml:space="preserve">Joint modeling of additive and non-additive genetic line effects in single field trials</w:t>
        </w:r>
      </w:hyperlink>
      <w:r>
        <w:t xml:space="preserve">. Theoretical and Applied Genetics 113: 809–819.</w:t>
      </w:r>
    </w:p>
    <w:bookmarkEnd w:id="107"/>
    <w:bookmarkStart w:id="109" w:name="ref-pelissier_genetic_2023"/>
    <w:p>
      <w:pPr>
        <w:pStyle w:val="Bibliography"/>
      </w:pPr>
      <w:r>
        <w:t xml:space="preserve">Pélissier, R., E. Ballini, C. Temple, A. Ducasse, M. Colombo</w:t>
      </w:r>
      <w:r>
        <w:t xml:space="preserve"> </w:t>
      </w:r>
      <w:r>
        <w:rPr>
          <w:iCs/>
          <w:i/>
        </w:rPr>
        <w:t xml:space="preserve">et al.</w:t>
      </w:r>
      <w:r>
        <w:t xml:space="preserve">, 2023</w:t>
      </w:r>
      <w:r>
        <w:t xml:space="preserve"> </w:t>
      </w:r>
      <w:hyperlink r:id="rId108">
        <w:r>
          <w:rPr>
            <w:rStyle w:val="Hyperlink"/>
          </w:rPr>
          <w:t xml:space="preserve">The genetic identity of neighboring plants in intraspecific mixtures modulates disease susceptibility of both wheat and rice</w:t>
        </w:r>
      </w:hyperlink>
      <w:r>
        <w:t xml:space="preserve"> </w:t>
      </w:r>
      <w:r>
        <w:t xml:space="preserve">(C. H. Haney, Ed.). PLOS Biology 21: e3002287.</w:t>
      </w:r>
    </w:p>
    <w:bookmarkEnd w:id="109"/>
    <w:bookmarkStart w:id="111" w:name="ref-Rgaston"/>
    <w:p>
      <w:pPr>
        <w:pStyle w:val="Bibliography"/>
      </w:pPr>
      <w:r>
        <w:t xml:space="preserve">Perdry, H., and C. Dandine-Roulland, 2022</w:t>
      </w:r>
      <w:r>
        <w:t xml:space="preserve"> </w:t>
      </w:r>
      <w:hyperlink r:id="rId110">
        <w:r>
          <w:rPr>
            <w:rStyle w:val="Hyperlink"/>
            <w:iCs/>
            <w:i/>
          </w:rPr>
          <w:t xml:space="preserve">Gaston: Genetic data handling (QC, GRM, LD, PCA) &amp; linear mixed models</w:t>
        </w:r>
      </w:hyperlink>
      <w:r>
        <w:t xml:space="preserve">.</w:t>
      </w:r>
    </w:p>
    <w:bookmarkEnd w:id="111"/>
    <w:bookmarkStart w:id="113" w:name="ref-Rcite"/>
    <w:p>
      <w:pPr>
        <w:pStyle w:val="Bibliography"/>
      </w:pPr>
      <w:r>
        <w:t xml:space="preserve">R Core Team, 2023</w:t>
      </w:r>
      <w:r>
        <w:t xml:space="preserve"> </w:t>
      </w:r>
      <w:hyperlink r:id="rId112">
        <w:r>
          <w:rPr>
            <w:rStyle w:val="Hyperlink"/>
            <w:iCs/>
            <w:i/>
          </w:rPr>
          <w:t xml:space="preserve">R: A language and environment for statistical computing</w:t>
        </w:r>
      </w:hyperlink>
      <w:r>
        <w:t xml:space="preserve">. R Foundation for Statistical Computing, Vienna, Austria.</w:t>
      </w:r>
    </w:p>
    <w:bookmarkEnd w:id="113"/>
    <w:bookmarkStart w:id="115" w:name="ref-richards_association_2017"/>
    <w:p>
      <w:pPr>
        <w:pStyle w:val="Bibliography"/>
      </w:pPr>
      <w:r>
        <w:t xml:space="preserve">Richards, J. K., T. L. Friesen, and R. S. Brueggeman, 2017</w:t>
      </w:r>
      <w:r>
        <w:t xml:space="preserve"> </w:t>
      </w:r>
      <w:hyperlink r:id="rId114">
        <w:r>
          <w:rPr>
            <w:rStyle w:val="Hyperlink"/>
          </w:rPr>
          <w:t xml:space="preserve">Association mapping utilizing diverse barley lines reveals net form net blotch seedling resistance/susceptibility loci</w:t>
        </w:r>
      </w:hyperlink>
      <w:r>
        <w:t xml:space="preserve">. Theoretical and Applied Genetics 130: 915–927.</w:t>
      </w:r>
    </w:p>
    <w:bookmarkEnd w:id="115"/>
    <w:bookmarkStart w:id="117"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116">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117"/>
    <w:bookmarkStart w:id="119" w:name="ref-rodriguez-alvarez_correcting_2018"/>
    <w:p>
      <w:pPr>
        <w:pStyle w:val="Bibliography"/>
      </w:pPr>
      <w:r>
        <w:t xml:space="preserve">Rodríguez-Álvarez, M. X., M. P. Boer, F. A. van Eeuwijk, and P. H. C. Eilers, 2018</w:t>
      </w:r>
      <w:r>
        <w:t xml:space="preserve"> </w:t>
      </w:r>
      <w:hyperlink r:id="rId118">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119"/>
    <w:bookmarkStart w:id="121" w:name="ref-rodriguez-alvarez_fast_2015"/>
    <w:p>
      <w:pPr>
        <w:pStyle w:val="Bibliography"/>
      </w:pPr>
      <w:r>
        <w:t xml:space="preserve">Rodríguez-Álvarez, M. X., D.-J. Lee, T. Kneib, M. Durbán, and P. Eilers, 2015</w:t>
      </w:r>
      <w:r>
        <w:t xml:space="preserve"> </w:t>
      </w:r>
      <w:hyperlink r:id="rId120">
        <w:r>
          <w:rPr>
            <w:rStyle w:val="Hyperlink"/>
          </w:rPr>
          <w:t xml:space="preserve">Fast smoothing parameter separation in multidimensional generalized</w:t>
        </w:r>
        <w:r>
          <w:rPr>
            <w:rStyle w:val="Hyperlink"/>
          </w:rPr>
          <w:t xml:space="preserve"> </w:t>
        </w:r>
        <w:r>
          <w:rPr>
            <w:rStyle w:val="Hyperlink"/>
          </w:rPr>
          <w:t xml:space="preserve">P</w:t>
        </w:r>
        <w:r>
          <w:rPr>
            <w:rStyle w:val="Hyperlink"/>
          </w:rPr>
          <w:t xml:space="preserve">-splines: The</w:t>
        </w:r>
        <w:r>
          <w:rPr>
            <w:rStyle w:val="Hyperlink"/>
          </w:rPr>
          <w:t xml:space="preserve"> </w:t>
        </w:r>
        <w:r>
          <w:rPr>
            <w:rStyle w:val="Hyperlink"/>
          </w:rPr>
          <w:t xml:space="preserve">SAP</w:t>
        </w:r>
        <w:r>
          <w:rPr>
            <w:rStyle w:val="Hyperlink"/>
          </w:rPr>
          <w:t xml:space="preserve"> </w:t>
        </w:r>
        <w:r>
          <w:rPr>
            <w:rStyle w:val="Hyperlink"/>
          </w:rPr>
          <w:t xml:space="preserve">algorithm</w:t>
        </w:r>
      </w:hyperlink>
      <w:r>
        <w:t xml:space="preserve">. Statistics and Computing 25: 941–957.</w:t>
      </w:r>
    </w:p>
    <w:bookmarkEnd w:id="121"/>
    <w:bookmarkStart w:id="123" w:name="ref-ruiz-roldan_ptk1_2001"/>
    <w:p>
      <w:pPr>
        <w:pStyle w:val="Bibliography"/>
      </w:pPr>
      <w:r>
        <w:t xml:space="preserve">Ruiz-Roldán, M. C., F. J. Maier, and W. Schäfer, 2001</w:t>
      </w:r>
      <w:r>
        <w:t xml:space="preserve"> </w:t>
      </w:r>
      <w:hyperlink r:id="rId122">
        <w:r>
          <w:rPr>
            <w:rStyle w:val="Hyperlink"/>
            <w:iCs/>
            <w:i/>
          </w:rPr>
          <w:t xml:space="preserve">PTK1</w:t>
        </w:r>
        <w:r>
          <w:rPr>
            <w:rStyle w:val="Hyperlink"/>
          </w:rPr>
          <w:t xml:space="preserve"> </w:t>
        </w:r>
        <w:r>
          <w:rPr>
            <w:rStyle w:val="Hyperlink"/>
          </w:rPr>
          <w:t xml:space="preserve">, a</w:t>
        </w:r>
        <w:r>
          <w:rPr>
            <w:rStyle w:val="Hyperlink"/>
          </w:rPr>
          <w:t xml:space="preserve"> </w:t>
        </w:r>
        <w:r>
          <w:rPr>
            <w:rStyle w:val="Hyperlink"/>
          </w:rPr>
          <w:t xml:space="preserve">Mitogen</w:t>
        </w:r>
        <w:r>
          <w:rPr>
            <w:rStyle w:val="Hyperlink"/>
          </w:rPr>
          <w:t xml:space="preserve">-</w:t>
        </w:r>
        <w:r>
          <w:rPr>
            <w:rStyle w:val="Hyperlink"/>
          </w:rPr>
          <w:t xml:space="preserve">Activated</w:t>
        </w:r>
        <w:r>
          <w:rPr>
            <w:rStyle w:val="Hyperlink"/>
          </w:rPr>
          <w:t xml:space="preserve">-</w:t>
        </w:r>
        <w:r>
          <w:rPr>
            <w:rStyle w:val="Hyperlink"/>
          </w:rPr>
          <w:t xml:space="preserve">Protein</w:t>
        </w:r>
        <w:r>
          <w:rPr>
            <w:rStyle w:val="Hyperlink"/>
          </w:rPr>
          <w:t xml:space="preserve"> </w:t>
        </w:r>
        <w:r>
          <w:rPr>
            <w:rStyle w:val="Hyperlink"/>
          </w:rPr>
          <w:t xml:space="preserve">Kinase</w:t>
        </w:r>
        <w:r>
          <w:rPr>
            <w:rStyle w:val="Hyperlink"/>
          </w:rPr>
          <w:t xml:space="preserve"> </w:t>
        </w:r>
        <w:r>
          <w:rPr>
            <w:rStyle w:val="Hyperlink"/>
          </w:rPr>
          <w:t xml:space="preserve">Gene</w:t>
        </w:r>
        <w:r>
          <w:rPr>
            <w:rStyle w:val="Hyperlink"/>
          </w:rPr>
          <w:t xml:space="preserve">,</w:t>
        </w:r>
        <w:r>
          <w:rPr>
            <w:rStyle w:val="Hyperlink"/>
          </w:rPr>
          <w:t xml:space="preserve"> </w:t>
        </w:r>
        <w:r>
          <w:rPr>
            <w:rStyle w:val="Hyperlink"/>
          </w:rPr>
          <w:t xml:space="preserve">Is</w:t>
        </w:r>
        <w:r>
          <w:rPr>
            <w:rStyle w:val="Hyperlink"/>
          </w:rPr>
          <w:t xml:space="preserve"> </w:t>
        </w:r>
        <w:r>
          <w:rPr>
            <w:rStyle w:val="Hyperlink"/>
          </w:rPr>
          <w:t xml:space="preserve">Required</w:t>
        </w:r>
        <w:r>
          <w:rPr>
            <w:rStyle w:val="Hyperlink"/>
          </w:rPr>
          <w:t xml:space="preserve"> </w:t>
        </w:r>
        <w:r>
          <w:rPr>
            <w:rStyle w:val="Hyperlink"/>
          </w:rPr>
          <w:t xml:space="preserve">for</w:t>
        </w:r>
        <w:r>
          <w:rPr>
            <w:rStyle w:val="Hyperlink"/>
          </w:rPr>
          <w:t xml:space="preserve"> </w:t>
        </w:r>
        <w:r>
          <w:rPr>
            <w:rStyle w:val="Hyperlink"/>
          </w:rPr>
          <w:t xml:space="preserve">Conidiation</w:t>
        </w:r>
        <w:r>
          <w:rPr>
            <w:rStyle w:val="Hyperlink"/>
          </w:rPr>
          <w:t xml:space="preserve">,</w:t>
        </w:r>
        <w:r>
          <w:rPr>
            <w:rStyle w:val="Hyperlink"/>
          </w:rPr>
          <w:t xml:space="preserve"> </w:t>
        </w:r>
        <w:r>
          <w:rPr>
            <w:rStyle w:val="Hyperlink"/>
          </w:rPr>
          <w:t xml:space="preserve">Appressorium</w:t>
        </w:r>
        <w:r>
          <w:rPr>
            <w:rStyle w:val="Hyperlink"/>
          </w:rPr>
          <w:t xml:space="preserve"> </w:t>
        </w:r>
        <w:r>
          <w:rPr>
            <w:rStyle w:val="Hyperlink"/>
          </w:rPr>
          <w:t xml:space="preserve">Formation</w:t>
        </w:r>
        <w:r>
          <w:rPr>
            <w:rStyle w:val="Hyperlink"/>
          </w:rPr>
          <w:t xml:space="preserve">, and</w:t>
        </w:r>
        <w:r>
          <w:rPr>
            <w:rStyle w:val="Hyperlink"/>
          </w:rPr>
          <w:t xml:space="preserve"> </w:t>
        </w:r>
        <w:r>
          <w:rPr>
            <w:rStyle w:val="Hyperlink"/>
          </w:rPr>
          <w:t xml:space="preserve">Pathogenicity</w:t>
        </w:r>
        <w:r>
          <w:rPr>
            <w:rStyle w:val="Hyperlink"/>
          </w:rPr>
          <w:t xml:space="preserve"> </w:t>
        </w:r>
        <w:r>
          <w:rPr>
            <w:rStyle w:val="Hyperlink"/>
          </w:rPr>
          <w:t xml:space="preserve">of</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on</w:t>
        </w:r>
        <w:r>
          <w:rPr>
            <w:rStyle w:val="Hyperlink"/>
          </w:rPr>
          <w:t xml:space="preserve"> </w:t>
        </w:r>
        <w:r>
          <w:rPr>
            <w:rStyle w:val="Hyperlink"/>
          </w:rPr>
          <w:t xml:space="preserve">Barley</w:t>
        </w:r>
      </w:hyperlink>
      <w:r>
        <w:t xml:space="preserve">. Molecular Plant-Microbe Interactions® 14: 116–125.</w:t>
      </w:r>
    </w:p>
    <w:bookmarkEnd w:id="123"/>
    <w:bookmarkStart w:id="125"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124">
        <w:r>
          <w:rPr>
            <w:rStyle w:val="Hyperlink"/>
          </w:rPr>
          <w:t xml:space="preserve">Reducing herbivory in mixed planting by genomic prediction of neighbor effects in the field</w:t>
        </w:r>
      </w:hyperlink>
      <w:r>
        <w:t xml:space="preserve">. Nature Communications 15: 8467.</w:t>
      </w:r>
    </w:p>
    <w:bookmarkEnd w:id="125"/>
    <w:bookmarkStart w:id="127" w:name="ref-sato_neighbor_2021-1"/>
    <w:p>
      <w:pPr>
        <w:pStyle w:val="Bibliography"/>
      </w:pPr>
      <w:r>
        <w:t xml:space="preserve">Sato, Y., K. Takeda, and A. J. Nagano, 2021a</w:t>
      </w:r>
      <w:r>
        <w:t xml:space="preserve"> </w:t>
      </w:r>
      <w:hyperlink r:id="rId126">
        <w:r>
          <w:rPr>
            <w:rStyle w:val="Hyperlink"/>
          </w:rPr>
          <w:t xml:space="preserve">Neighbor</w:t>
        </w:r>
        <w:r>
          <w:rPr>
            <w:rStyle w:val="Hyperlink"/>
          </w:rPr>
          <w:t xml:space="preserve"> </w:t>
        </w:r>
        <w:r>
          <w:rPr>
            <w:rStyle w:val="Hyperlink"/>
          </w:rPr>
          <w:t xml:space="preserve">QTL</w:t>
        </w:r>
        <w:r>
          <w:rPr>
            <w:rStyle w:val="Hyperlink"/>
          </w:rPr>
          <w:t xml:space="preserve">: An interval mapping method for quantitative trait loci underlying plant neighborhood effects</w:t>
        </w:r>
      </w:hyperlink>
      <w:r>
        <w:t xml:space="preserve"> </w:t>
      </w:r>
      <w:r>
        <w:t xml:space="preserve">(P. K. Ingvarsson, Ed.). G3 Genes</w:t>
      </w:r>
      <w:r>
        <w:t xml:space="preserve">Genomes</w:t>
      </w:r>
      <w:r>
        <w:t xml:space="preserve">Genetics 11: jkab017.</w:t>
      </w:r>
    </w:p>
    <w:bookmarkEnd w:id="127"/>
    <w:bookmarkStart w:id="129" w:name="ref-sato_genetics_2024"/>
    <w:p>
      <w:pPr>
        <w:pStyle w:val="Bibliography"/>
      </w:pPr>
      <w:r>
        <w:t xml:space="preserve">Sato, Y., and S. E. Wuest, 2024</w:t>
      </w:r>
      <w:r>
        <w:t xml:space="preserve"> </w:t>
      </w:r>
      <w:hyperlink r:id="rId128">
        <w:r>
          <w:rPr>
            <w:rStyle w:val="Hyperlink"/>
          </w:rPr>
          <w:t xml:space="preserve">The genetics of plant-plant interactions and their cascading effects on agroecosystem – from model plants to application</w:t>
        </w:r>
      </w:hyperlink>
      <w:r>
        <w:t xml:space="preserve">. Plant And Cell Physiology pcae092.</w:t>
      </w:r>
    </w:p>
    <w:bookmarkEnd w:id="129"/>
    <w:bookmarkStart w:id="131" w:name="ref-sato_neighbor_2021"/>
    <w:p>
      <w:pPr>
        <w:pStyle w:val="Bibliography"/>
      </w:pPr>
      <w:r>
        <w:t xml:space="preserve">Sato, Y., E. Yamamoto, K. K. Shimizu, and A. J. Nagano, 2021b</w:t>
      </w:r>
      <w:r>
        <w:t xml:space="preserve"> </w:t>
      </w:r>
      <w:hyperlink r:id="rId130">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131"/>
    <w:bookmarkStart w:id="133" w:name="ref-silva_genetic_2013"/>
    <w:p>
      <w:pPr>
        <w:pStyle w:val="Bibliography"/>
      </w:pPr>
      <w:r>
        <w:t xml:space="preserve">Silva, J. C. E., B. M. Potts, P. Bijma, R. J. Kerr, and D. J. Pilbeam, 2013</w:t>
      </w:r>
      <w:r>
        <w:t xml:space="preserve"> </w:t>
      </w:r>
      <w:hyperlink r:id="rId132">
        <w:r>
          <w:rPr>
            <w:rStyle w:val="Hyperlink"/>
          </w:rPr>
          <w:t xml:space="preserve">Genetic control of interactions among individuals: Contrasting outcomes of indirect genetic effects arising from neighbour disease infection and competition in a forest tree</w:t>
        </w:r>
      </w:hyperlink>
      <w:r>
        <w:t xml:space="preserve">. New Phytologist 197: 631–641.</w:t>
      </w:r>
    </w:p>
    <w:bookmarkEnd w:id="133"/>
    <w:bookmarkStart w:id="135" w:name="ref-tamang_association_2015"/>
    <w:p>
      <w:pPr>
        <w:pStyle w:val="Bibliography"/>
      </w:pPr>
      <w:r>
        <w:t xml:space="preserve">Tamang, P., A. Neupane, S. Mamidi, T. Friesen, and R. Brueggeman, 2015</w:t>
      </w:r>
      <w:r>
        <w:t xml:space="preserve"> </w:t>
      </w:r>
      <w:hyperlink r:id="rId134">
        <w:r>
          <w:rPr>
            <w:rStyle w:val="Hyperlink"/>
          </w:rPr>
          <w:t xml:space="preserve">Association</w:t>
        </w:r>
        <w:r>
          <w:rPr>
            <w:rStyle w:val="Hyperlink"/>
          </w:rPr>
          <w:t xml:space="preserve"> </w:t>
        </w:r>
        <w:r>
          <w:rPr>
            <w:rStyle w:val="Hyperlink"/>
          </w:rPr>
          <w:t xml:space="preserve">Mapping</w:t>
        </w:r>
        <w:r>
          <w:rPr>
            <w:rStyle w:val="Hyperlink"/>
          </w:rPr>
          <w:t xml:space="preserve"> </w:t>
        </w:r>
        <w:r>
          <w:rPr>
            <w:rStyle w:val="Hyperlink"/>
          </w:rPr>
          <w:t xml:space="preserve">of</w:t>
        </w:r>
        <w:r>
          <w:rPr>
            <w:rStyle w:val="Hyperlink"/>
          </w:rPr>
          <w:t xml:space="preserve"> </w:t>
        </w:r>
        <w:r>
          <w:rPr>
            <w:rStyle w:val="Hyperlink"/>
          </w:rPr>
          <w:t xml:space="preserve">Seedling</w:t>
        </w:r>
        <w:r>
          <w:rPr>
            <w:rStyle w:val="Hyperlink"/>
          </w:rPr>
          <w:t xml:space="preserve"> </w:t>
        </w:r>
        <w:r>
          <w:rPr>
            <w:rStyle w:val="Hyperlink"/>
          </w:rPr>
          <w:t xml:space="preserve">Resistance</w:t>
        </w:r>
        <w:r>
          <w:rPr>
            <w:rStyle w:val="Hyperlink"/>
          </w:rPr>
          <w:t xml:space="preserve"> </w:t>
        </w:r>
        <w:r>
          <w:rPr>
            <w:rStyle w:val="Hyperlink"/>
          </w:rPr>
          <w:t xml:space="preserve">to</w:t>
        </w:r>
        <w:r>
          <w:rPr>
            <w:rStyle w:val="Hyperlink"/>
          </w:rPr>
          <w:t xml:space="preserve"> </w:t>
        </w:r>
        <w:r>
          <w:rPr>
            <w:rStyle w:val="Hyperlink"/>
          </w:rPr>
          <w:t xml:space="preserve">Spot</w:t>
        </w:r>
        <w:r>
          <w:rPr>
            <w:rStyle w:val="Hyperlink"/>
          </w:rPr>
          <w:t xml:space="preserve"> </w:t>
        </w:r>
        <w:r>
          <w:rPr>
            <w:rStyle w:val="Hyperlink"/>
          </w:rPr>
          <w:t xml:space="preserve">Form</w:t>
        </w:r>
        <w:r>
          <w:rPr>
            <w:rStyle w:val="Hyperlink"/>
          </w:rPr>
          <w:t xml:space="preserve"> </w:t>
        </w:r>
        <w:r>
          <w:rPr>
            <w:rStyle w:val="Hyperlink"/>
          </w:rPr>
          <w:t xml:space="preserve">Net</w:t>
        </w:r>
        <w:r>
          <w:rPr>
            <w:rStyle w:val="Hyperlink"/>
          </w:rPr>
          <w:t xml:space="preserve"> </w:t>
        </w:r>
        <w:r>
          <w:rPr>
            <w:rStyle w:val="Hyperlink"/>
          </w:rPr>
          <w:t xml:space="preserve">Blotch</w:t>
        </w:r>
        <w:r>
          <w:rPr>
            <w:rStyle w:val="Hyperlink"/>
          </w:rPr>
          <w:t xml:space="preserve"> </w:t>
        </w:r>
        <w:r>
          <w:rPr>
            <w:rStyle w:val="Hyperlink"/>
          </w:rPr>
          <w:t xml:space="preserve">in a</w:t>
        </w:r>
        <w:r>
          <w:rPr>
            <w:rStyle w:val="Hyperlink"/>
          </w:rPr>
          <w:t xml:space="preserve"> </w:t>
        </w:r>
        <w:r>
          <w:rPr>
            <w:rStyle w:val="Hyperlink"/>
          </w:rPr>
          <w:t xml:space="preserve">Worldwide</w:t>
        </w:r>
        <w:r>
          <w:rPr>
            <w:rStyle w:val="Hyperlink"/>
          </w:rPr>
          <w:t xml:space="preserve"> </w:t>
        </w:r>
        <w:r>
          <w:rPr>
            <w:rStyle w:val="Hyperlink"/>
          </w:rPr>
          <w:t xml:space="preserve">Collection</w:t>
        </w:r>
        <w:r>
          <w:rPr>
            <w:rStyle w:val="Hyperlink"/>
          </w:rPr>
          <w:t xml:space="preserve"> </w:t>
        </w:r>
        <w:r>
          <w:rPr>
            <w:rStyle w:val="Hyperlink"/>
          </w:rPr>
          <w:t xml:space="preserve">of</w:t>
        </w:r>
        <w:r>
          <w:rPr>
            <w:rStyle w:val="Hyperlink"/>
          </w:rPr>
          <w:t xml:space="preserve"> </w:t>
        </w:r>
        <w:r>
          <w:rPr>
            <w:rStyle w:val="Hyperlink"/>
          </w:rPr>
          <w:t xml:space="preserve">Barley</w:t>
        </w:r>
      </w:hyperlink>
      <w:r>
        <w:t xml:space="preserve">. Phytopathology® 105: 500–508.</w:t>
      </w:r>
    </w:p>
    <w:bookmarkEnd w:id="135"/>
    <w:bookmarkStart w:id="137" w:name="ref-tamura_intraspecific_2020"/>
    <w:p>
      <w:pPr>
        <w:pStyle w:val="Bibliography"/>
      </w:pPr>
      <w:r>
        <w:t xml:space="preserve">Tamura, M., T. Ohgushi, and T. Y. Ida, 2020</w:t>
      </w:r>
      <w:r>
        <w:t xml:space="preserve"> </w:t>
      </w:r>
      <w:hyperlink r:id="rId136">
        <w:r>
          <w:rPr>
            <w:rStyle w:val="Hyperlink"/>
          </w:rPr>
          <w:t xml:space="preserve">Intraspecific neighbourhood effect:</w:t>
        </w:r>
        <w:r>
          <w:rPr>
            <w:rStyle w:val="Hyperlink"/>
          </w:rPr>
          <w:t xml:space="preserve"> </w:t>
        </w:r>
        <w:r>
          <w:rPr>
            <w:rStyle w:val="Hyperlink"/>
          </w:rPr>
          <w:t xml:space="preserve">Population</w:t>
        </w:r>
        <w:r>
          <w:rPr>
            <w:rStyle w:val="Hyperlink"/>
          </w:rPr>
          <w:t xml:space="preserve">‐level consequence of aggregation of highly defended plants</w:t>
        </w:r>
      </w:hyperlink>
      <w:r>
        <w:t xml:space="preserve"> </w:t>
      </w:r>
      <w:r>
        <w:t xml:space="preserve">(J. Koricheva, Ed.). Functional Ecology 34: 597–605.</w:t>
      </w:r>
    </w:p>
    <w:bookmarkEnd w:id="137"/>
    <w:bookmarkStart w:id="139"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138">
        <w:r>
          <w:rPr>
            <w:rStyle w:val="Hyperlink"/>
          </w:rPr>
          <w:t xml:space="preserve">Plant size, latitude, and phylogeny explain within-population variability in herbivory</w:t>
        </w:r>
      </w:hyperlink>
      <w:r>
        <w:t xml:space="preserve">. Science 382: 679–683.</w:t>
      </w:r>
    </w:p>
    <w:bookmarkEnd w:id="139"/>
    <w:bookmarkStart w:id="141" w:name="ref-tibbs_cortes_status_2021"/>
    <w:p>
      <w:pPr>
        <w:pStyle w:val="Bibliography"/>
      </w:pPr>
      <w:r>
        <w:t xml:space="preserve">Tibbs Cortes, L., Z. Zhang, and J. Yu, 2021</w:t>
      </w:r>
      <w:r>
        <w:t xml:space="preserve"> </w:t>
      </w:r>
      <w:hyperlink r:id="rId140">
        <w:r>
          <w:rPr>
            <w:rStyle w:val="Hyperlink"/>
          </w:rPr>
          <w:t xml:space="preserve">Status and prospects of genome‐wide association studies in plants</w:t>
        </w:r>
      </w:hyperlink>
      <w:r>
        <w:t xml:space="preserve">. The Plant Genome 14:</w:t>
      </w:r>
    </w:p>
    <w:bookmarkEnd w:id="141"/>
    <w:bookmarkStart w:id="143" w:name="ref-tooker_genotypically_2012"/>
    <w:p>
      <w:pPr>
        <w:pStyle w:val="Bibliography"/>
      </w:pPr>
      <w:r>
        <w:t xml:space="preserve">Tooker, J. F., and S. D. Frank, 2012</w:t>
      </w:r>
      <w:r>
        <w:t xml:space="preserve"> </w:t>
      </w:r>
      <w:hyperlink r:id="rId142">
        <w:r>
          <w:rPr>
            <w:rStyle w:val="Hyperlink"/>
          </w:rPr>
          <w:t xml:space="preserve">Genotypically diverse cultivar mixtures for insect pest management and increased crop yields</w:t>
        </w:r>
      </w:hyperlink>
      <w:r>
        <w:t xml:space="preserve"> </w:t>
      </w:r>
      <w:r>
        <w:t xml:space="preserve">(I. Steffan-Dewenter, Ed.). Journal of Applied Ecology 49: 974–985.</w:t>
      </w:r>
    </w:p>
    <w:bookmarkEnd w:id="143"/>
    <w:bookmarkStart w:id="145" w:name="ref-utsumi_plant_2011-1"/>
    <w:p>
      <w:pPr>
        <w:pStyle w:val="Bibliography"/>
      </w:pPr>
      <w:r>
        <w:t xml:space="preserve">Utsumi, S., Y. Ando, T. P. Craig, and T. Ohgushi, 2011</w:t>
      </w:r>
      <w:r>
        <w:t xml:space="preserve"> </w:t>
      </w:r>
      <w:hyperlink r:id="rId144">
        <w:r>
          <w:rPr>
            <w:rStyle w:val="Hyperlink"/>
          </w:rPr>
          <w:t xml:space="preserve">Plant genotypic diversity increases population size of a herbivorous insect</w:t>
        </w:r>
      </w:hyperlink>
      <w:r>
        <w:t xml:space="preserve">. Proceedings of the Royal Society B: Biological Sciences 278: 3108–3115.</w:t>
      </w:r>
    </w:p>
    <w:bookmarkEnd w:id="145"/>
    <w:bookmarkStart w:id="147" w:name="ref-van_den_berg_effects_1990"/>
    <w:p>
      <w:pPr>
        <w:pStyle w:val="Bibliography"/>
      </w:pPr>
      <w:r>
        <w:t xml:space="preserve">Van Den Berg, C. G. J., and B. G. Rossnagel, 1990</w:t>
      </w:r>
      <w:r>
        <w:t xml:space="preserve"> </w:t>
      </w:r>
      <w:hyperlink r:id="rId146">
        <w:r>
          <w:rPr>
            <w:rStyle w:val="Hyperlink"/>
          </w:rPr>
          <w:t xml:space="preserve">Effects of temperature and leaf wetness period on conidium germination and infection of barley by</w:t>
        </w:r>
        <w:r>
          <w:rPr>
            <w:rStyle w:val="Hyperlink"/>
          </w:rPr>
          <w:t xml:space="preserve"> </w:t>
        </w:r>
        <w:r>
          <w:rPr>
            <w:rStyle w:val="Hyperlink"/>
            <w:iCs/>
            <w:i/>
          </w:rPr>
          <w:t xml:space="preserve">Pyrenophora</w:t>
        </w:r>
        <w:r>
          <w:rPr>
            <w:rStyle w:val="Hyperlink"/>
            <w:iCs/>
            <w:i/>
          </w:rPr>
          <w:t xml:space="preserve"> </w:t>
        </w:r>
        <w:r>
          <w:rPr>
            <w:rStyle w:val="Hyperlink"/>
            <w:iCs/>
            <w:i/>
          </w:rPr>
          <w:t xml:space="preserve">teres</w:t>
        </w:r>
      </w:hyperlink>
      <w:r>
        <w:t xml:space="preserve">. Canadian Journal of Plant Pathology 12: 263–266.</w:t>
      </w:r>
    </w:p>
    <w:bookmarkEnd w:id="147"/>
    <w:bookmarkStart w:id="149" w:name="ref-van_der_heyden_monitoring_2021"/>
    <w:p>
      <w:pPr>
        <w:pStyle w:val="Bibliography"/>
      </w:pPr>
      <w:r>
        <w:t xml:space="preserve">Van Der Heyden, H., P. Dutilleul, J.-B. Charron, G. J. Bilodeau, and O. Carisse, 2021</w:t>
      </w:r>
      <w:r>
        <w:t xml:space="preserve"> </w:t>
      </w:r>
      <w:hyperlink r:id="rId148">
        <w:r>
          <w:rPr>
            <w:rStyle w:val="Hyperlink"/>
          </w:rPr>
          <w:t xml:space="preserve">Monitoring airborne inoculum for improved plant disease management.</w:t>
        </w:r>
        <w:r>
          <w:rPr>
            <w:rStyle w:val="Hyperlink"/>
          </w:rPr>
          <w:t xml:space="preserve"> </w:t>
        </w:r>
        <w:r>
          <w:rPr>
            <w:rStyle w:val="Hyperlink"/>
          </w:rPr>
          <w:t xml:space="preserve">A</w:t>
        </w:r>
        <w:r>
          <w:rPr>
            <w:rStyle w:val="Hyperlink"/>
          </w:rPr>
          <w:t xml:space="preserve"> </w:t>
        </w:r>
        <w:r>
          <w:rPr>
            <w:rStyle w:val="Hyperlink"/>
          </w:rPr>
          <w:t xml:space="preserve">review</w:t>
        </w:r>
      </w:hyperlink>
      <w:r>
        <w:t xml:space="preserve">. Agronomy for Sustainable Development 41: 40.</w:t>
      </w:r>
    </w:p>
    <w:bookmarkEnd w:id="149"/>
    <w:bookmarkStart w:id="151" w:name="ref-wuest_ecological_2021"/>
    <w:p>
      <w:pPr>
        <w:pStyle w:val="Bibliography"/>
      </w:pPr>
      <w:r>
        <w:t xml:space="preserve">Wuest, S. E., R. Peter, and P. A. Niklaus, 2021</w:t>
      </w:r>
      <w:r>
        <w:t xml:space="preserve"> </w:t>
      </w:r>
      <w:hyperlink r:id="rId150">
        <w:r>
          <w:rPr>
            <w:rStyle w:val="Hyperlink"/>
          </w:rPr>
          <w:t xml:space="preserve">Ecological and evolutionary approaches to improving crop variety mixtures</w:t>
        </w:r>
      </w:hyperlink>
      <w:r>
        <w:t xml:space="preserve">. Nature Ecology &amp; Evolution 5: 1068–1077.</w:t>
      </w:r>
    </w:p>
    <w:bookmarkEnd w:id="151"/>
    <w:bookmarkStart w:id="153" w:name="ref-xu_genome-wide_2023"/>
    <w:p>
      <w:pPr>
        <w:pStyle w:val="Bibliography"/>
      </w:pPr>
      <w:r>
        <w:t xml:space="preserve">Xu, C., Y. Sato, M. Yamazaki, M. Brasser, M. A. Barbour</w:t>
      </w:r>
      <w:r>
        <w:t xml:space="preserve"> </w:t>
      </w:r>
      <w:r>
        <w:rPr>
          <w:iCs/>
          <w:i/>
        </w:rPr>
        <w:t xml:space="preserve">et al.</w:t>
      </w:r>
      <w:r>
        <w:t xml:space="preserve">, 2023</w:t>
      </w:r>
      <w:r>
        <w:t xml:space="preserve"> </w:t>
      </w:r>
      <w:hyperlink r:id="rId152">
        <w:r>
          <w:rPr>
            <w:rStyle w:val="Hyperlink"/>
          </w:rPr>
          <w:t xml:space="preserve">Genome-wide association study of aphid abundance highlights a locus affecting plant growth and flowering in</w:t>
        </w:r>
        <w:r>
          <w:rPr>
            <w:rStyle w:val="Hyperlink"/>
          </w:rPr>
          <w:t xml:space="preserve"> </w:t>
        </w:r>
        <w:r>
          <w:rPr>
            <w:rStyle w:val="Hyperlink"/>
            <w:iCs/>
            <w:i/>
          </w:rPr>
          <w:t xml:space="preserve">Arabidopsis</w:t>
        </w:r>
        <w:r>
          <w:rPr>
            <w:rStyle w:val="Hyperlink"/>
            <w:iCs/>
            <w:i/>
          </w:rPr>
          <w:t xml:space="preserve"> </w:t>
        </w:r>
        <w:r>
          <w:rPr>
            <w:rStyle w:val="Hyperlink"/>
            <w:iCs/>
            <w:i/>
          </w:rPr>
          <w:t xml:space="preserve">thaliana</w:t>
        </w:r>
      </w:hyperlink>
      <w:r>
        <w:t xml:space="preserve">. Royal Society Open Science 10: 230399.</w:t>
      </w:r>
    </w:p>
    <w:bookmarkEnd w:id="153"/>
    <w:bookmarkStart w:id="155" w:name="ref-yan_phylogeny_2023"/>
    <w:p>
      <w:pPr>
        <w:pStyle w:val="Bibliography"/>
      </w:pPr>
      <w:r>
        <w:t xml:space="preserve">Yan, J., P. Su, X. Meng, and P. Liu, 2023</w:t>
      </w:r>
      <w:r>
        <w:t xml:space="preserve"> </w:t>
      </w:r>
      <w:hyperlink r:id="rId154">
        <w:r>
          <w:rPr>
            <w:rStyle w:val="Hyperlink"/>
          </w:rPr>
          <w:t xml:space="preserve">Phylogeny of the plant receptor-like kinase (</w:t>
        </w:r>
        <w:r>
          <w:rPr>
            <w:rStyle w:val="Hyperlink"/>
          </w:rPr>
          <w:t xml:space="preserve">RLK</w:t>
        </w:r>
        <w:r>
          <w:rPr>
            <w:rStyle w:val="Hyperlink"/>
          </w:rPr>
          <w:t xml:space="preserve">) gene family and expression analysis of wheat</w:t>
        </w:r>
        <w:r>
          <w:rPr>
            <w:rStyle w:val="Hyperlink"/>
          </w:rPr>
          <w:t xml:space="preserve"> </w:t>
        </w:r>
        <w:r>
          <w:rPr>
            <w:rStyle w:val="Hyperlink"/>
          </w:rPr>
          <w:t xml:space="preserve">RLK</w:t>
        </w:r>
        <w:r>
          <w:rPr>
            <w:rStyle w:val="Hyperlink"/>
          </w:rPr>
          <w:t xml:space="preserve"> </w:t>
        </w:r>
        <w:r>
          <w:rPr>
            <w:rStyle w:val="Hyperlink"/>
          </w:rPr>
          <w:t xml:space="preserve">genes in response to biotic and abiotic stresses</w:t>
        </w:r>
      </w:hyperlink>
      <w:r>
        <w:t xml:space="preserve">. BMC Genomics 24: 224.</w:t>
      </w:r>
    </w:p>
    <w:bookmarkEnd w:id="155"/>
    <w:bookmarkStart w:id="157" w:name="ref-zerihun_diallel_2019"/>
    <w:p>
      <w:pPr>
        <w:pStyle w:val="Bibliography"/>
      </w:pPr>
      <w:r>
        <w:t xml:space="preserve">Zerihun, J., M. Firew, L. Berhane, and A. Seid, 2019</w:t>
      </w:r>
      <w:r>
        <w:t xml:space="preserve"> </w:t>
      </w:r>
      <w:hyperlink r:id="rId156">
        <w:r>
          <w:rPr>
            <w:rStyle w:val="Hyperlink"/>
          </w:rPr>
          <w:t xml:space="preserve">Diallel analysis of scald and net blotch resistance in barley (</w:t>
        </w:r>
        <w:r>
          <w:rPr>
            <w:rStyle w:val="Hyperlink"/>
          </w:rPr>
          <w:t xml:space="preserve">Hordeum</w:t>
        </w:r>
        <w:r>
          <w:rPr>
            <w:rStyle w:val="Hyperlink"/>
          </w:rPr>
          <w:t xml:space="preserve"> </w:t>
        </w:r>
        <w:r>
          <w:rPr>
            <w:rStyle w:val="Hyperlink"/>
          </w:rPr>
          <w:t xml:space="preserve">vulgare</w:t>
        </w:r>
        <w:r>
          <w:rPr>
            <w:rStyle w:val="Hyperlink"/>
          </w:rPr>
          <w:t xml:space="preserve"> </w:t>
        </w:r>
        <w:r>
          <w:rPr>
            <w:rStyle w:val="Hyperlink"/>
          </w:rPr>
          <w:t xml:space="preserve">L</w:t>
        </w:r>
        <w:r>
          <w:rPr>
            <w:rStyle w:val="Hyperlink"/>
          </w:rPr>
          <w:t xml:space="preserve">.)</w:t>
        </w:r>
      </w:hyperlink>
      <w:r>
        <w:t xml:space="preserve">. Journal of Plant Breeding and Crop Science 11: 164–172.</w:t>
      </w:r>
    </w:p>
    <w:bookmarkEnd w:id="157"/>
    <w:bookmarkStart w:id="159" w:name="ref-zhan_resistance_2008"/>
    <w:p>
      <w:pPr>
        <w:pStyle w:val="Bibliography"/>
      </w:pPr>
      <w:r>
        <w:t xml:space="preserve">Zhan, J., B. D. L. Fitt, H. O. Pinnschmidt, S. J. P. Oxley, and A. C. Newton, 2008</w:t>
      </w:r>
      <w:r>
        <w:t xml:space="preserve"> </w:t>
      </w:r>
      <w:hyperlink r:id="rId158">
        <w:r>
          <w:rPr>
            <w:rStyle w:val="Hyperlink"/>
          </w:rPr>
          <w:t xml:space="preserve">Resistance, epidemiology and sustainable management of</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populations on barley</w:t>
        </w:r>
      </w:hyperlink>
      <w:r>
        <w:t xml:space="preserve">. Plant Pathology 57: 1–14.</w:t>
      </w:r>
    </w:p>
    <w:bookmarkEnd w:id="159"/>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num w:numId="1000">
    <w:abstractNumId w:val="990"/>
  </w:num>
  <w:num w:numId="1001">
    <w:abstractNumId w:val="991"/>
  </w:num>
  <w:num w:numId="1002">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df" /><Relationship Type="http://schemas.openxmlformats.org/officeDocument/2006/relationships/image" Id="rId48" Target="media/rId48.pdf" /><Relationship Type="http://schemas.openxmlformats.org/officeDocument/2006/relationships/image" Id="rId54" Target="media/rId54.pdf" /><Relationship Type="http://schemas.openxmlformats.org/officeDocument/2006/relationships/image" Id="rId59" Target="media/rId59.pdf" /><Relationship Type="http://schemas.openxmlformats.org/officeDocument/2006/relationships/hyperlink" Id="rId63" Target="http://52.64.175.84:8080/gigwa/?module=caigebarley&amp;project=Barley_genotypic_data" TargetMode="External" /><Relationship Type="http://schemas.openxmlformats.org/officeDocument/2006/relationships/hyperlink" Id="rId110" Target="https://CRAN.R-project.org/package=gaston" TargetMode="External" /><Relationship Type="http://schemas.openxmlformats.org/officeDocument/2006/relationships/hyperlink" Id="rId82" Target="https://doi.org/10.1002/eap.1807" TargetMode="External" /><Relationship Type="http://schemas.openxmlformats.org/officeDocument/2006/relationships/hyperlink" Id="rId140" Target="https://doi.org/10.1002/tpg2.20077" TargetMode="External" /><Relationship Type="http://schemas.openxmlformats.org/officeDocument/2006/relationships/hyperlink" Id="rId90" Target="https://doi.org/10.1002/tpg2.20530" TargetMode="External" /><Relationship Type="http://schemas.openxmlformats.org/officeDocument/2006/relationships/hyperlink" Id="rId106" Target="https://doi.org/10.1007/s00122-006-0333-z" TargetMode="External" /><Relationship Type="http://schemas.openxmlformats.org/officeDocument/2006/relationships/hyperlink" Id="rId114" Target="https://doi.org/10.1007/s00122-017-2860-1" TargetMode="External" /><Relationship Type="http://schemas.openxmlformats.org/officeDocument/2006/relationships/hyperlink" Id="rId104" Target="https://doi.org/10.1007/s00122-019-03378-1" TargetMode="External" /><Relationship Type="http://schemas.openxmlformats.org/officeDocument/2006/relationships/hyperlink" Id="rId86" Target="https://doi.org/10.1007/s00299-014-1717-1" TargetMode="External" /><Relationship Type="http://schemas.openxmlformats.org/officeDocument/2006/relationships/hyperlink" Id="rId120" Target="https://doi.org/10.1007/s11222-014-9464-2" TargetMode="External" /><Relationship Type="http://schemas.openxmlformats.org/officeDocument/2006/relationships/hyperlink" Id="rId76" Target="https://doi.org/10.1007/s11295-012-0521-8" TargetMode="External" /><Relationship Type="http://schemas.openxmlformats.org/officeDocument/2006/relationships/hyperlink" Id="rId148" Target="https://doi.org/10.1007/s13593-021-00694-z" TargetMode="External" /><Relationship Type="http://schemas.openxmlformats.org/officeDocument/2006/relationships/hyperlink" Id="rId118" Target="https://doi.org/10.1016/j.spasta.2017.10.003" TargetMode="External" /><Relationship Type="http://schemas.openxmlformats.org/officeDocument/2006/relationships/hyperlink" Id="rId78" Target="https://doi.org/10.1038/hdy.2017.25" TargetMode="External" /><Relationship Type="http://schemas.openxmlformats.org/officeDocument/2006/relationships/hyperlink" Id="rId130" Target="https://doi.org/10.1038/s41437-020-00401-w" TargetMode="External" /><Relationship Type="http://schemas.openxmlformats.org/officeDocument/2006/relationships/hyperlink" Id="rId124" Target="https://doi.org/10.1038/s41467-024-52374-7" TargetMode="External" /><Relationship Type="http://schemas.openxmlformats.org/officeDocument/2006/relationships/hyperlink" Id="rId150" Target="https://doi.org/10.1038/s41559-021-01497-x" TargetMode="External" /><Relationship Type="http://schemas.openxmlformats.org/officeDocument/2006/relationships/hyperlink" Id="rId100" Target="https://doi.org/10.1038/s41559-023-02189-4" TargetMode="External" /><Relationship Type="http://schemas.openxmlformats.org/officeDocument/2006/relationships/hyperlink" Id="rId146" Target="https://doi.org/10.1080/07060669009500997" TargetMode="External" /><Relationship Type="http://schemas.openxmlformats.org/officeDocument/2006/relationships/hyperlink" Id="rId126" Target="https://doi.org/10.1093/g3journal/jkab017" TargetMode="External" /><Relationship Type="http://schemas.openxmlformats.org/officeDocument/2006/relationships/hyperlink" Id="rId94" Target="https://doi.org/10.1093/jxb/ery330" TargetMode="External" /><Relationship Type="http://schemas.openxmlformats.org/officeDocument/2006/relationships/hyperlink" Id="rId128" Target="https://doi.org/10.1093/pcp/pcae092" TargetMode="External" /><Relationship Type="http://schemas.openxmlformats.org/officeDocument/2006/relationships/hyperlink" Id="rId96" Target="https://doi.org/10.1093/plcell/koab077" TargetMode="External" /><Relationship Type="http://schemas.openxmlformats.org/officeDocument/2006/relationships/hyperlink" Id="rId70" Target="https://doi.org/10.1093/sysbio/syz020" TargetMode="External" /><Relationship Type="http://schemas.openxmlformats.org/officeDocument/2006/relationships/hyperlink" Id="rId122" Target="https://doi.org/10.1094/MPMI.2001.14.2.116" TargetMode="External" /><Relationship Type="http://schemas.openxmlformats.org/officeDocument/2006/relationships/hyperlink" Id="rId134" Target="https://doi.org/10.1094/PHYTO-04-14-0106-R" TargetMode="External" /><Relationship Type="http://schemas.openxmlformats.org/officeDocument/2006/relationships/hyperlink" Id="rId68" Target="https://doi.org/10.1094/PHYTO-96-1214" TargetMode="External" /><Relationship Type="http://schemas.openxmlformats.org/officeDocument/2006/relationships/hyperlink" Id="rId152" Target="https://doi.org/10.1098/rsos.230399" TargetMode="External" /><Relationship Type="http://schemas.openxmlformats.org/officeDocument/2006/relationships/hyperlink" Id="rId144" Target="https://doi.org/10.1098/rspb.2011.0239" TargetMode="External" /><Relationship Type="http://schemas.openxmlformats.org/officeDocument/2006/relationships/hyperlink" Id="rId136" Target="https://doi.org/10.1111/1365-2435.13515" TargetMode="External" /><Relationship Type="http://schemas.openxmlformats.org/officeDocument/2006/relationships/hyperlink" Id="rId92" Target="https://doi.org/10.1111/j.1364-3703.2010.00649.x" TargetMode="External" /><Relationship Type="http://schemas.openxmlformats.org/officeDocument/2006/relationships/hyperlink" Id="rId142" Target="https://doi.org/10.1111/j.1365-2664.2012.02173.x" TargetMode="External" /><Relationship Type="http://schemas.openxmlformats.org/officeDocument/2006/relationships/hyperlink" Id="rId158" Target="https://doi.org/10.1111/j.1365-3059.2007.01691.x" TargetMode="External" /><Relationship Type="http://schemas.openxmlformats.org/officeDocument/2006/relationships/hyperlink" Id="rId74" Target="https://doi.org/10.1111/mpp.12896" TargetMode="External" /><Relationship Type="http://schemas.openxmlformats.org/officeDocument/2006/relationships/hyperlink" Id="rId132" Target="https://doi.org/10.1111/nph.12035" TargetMode="External" /><Relationship Type="http://schemas.openxmlformats.org/officeDocument/2006/relationships/hyperlink" Id="rId98" Target="https://doi.org/10.1111/nph.17915" TargetMode="External" /><Relationship Type="http://schemas.openxmlformats.org/officeDocument/2006/relationships/hyperlink" Id="rId138" Target="https://doi.org/10.1126/science.adh8830" TargetMode="External" /><Relationship Type="http://schemas.openxmlformats.org/officeDocument/2006/relationships/hyperlink" Id="rId102" Target="https://doi.org/10.1146/annurev.phyto.40.011402.113723" TargetMode="External" /><Relationship Type="http://schemas.openxmlformats.org/officeDocument/2006/relationships/hyperlink" Id="rId88" Target="https://doi.org/10.1186/1746-4811-9-29" TargetMode="External" /><Relationship Type="http://schemas.openxmlformats.org/officeDocument/2006/relationships/hyperlink" Id="rId80" Target="https://doi.org/10.1186/s12864-016-3229-6" TargetMode="External" /><Relationship Type="http://schemas.openxmlformats.org/officeDocument/2006/relationships/hyperlink" Id="rId154" Target="https://doi.org/10.1186/s12864-023-09303-7" TargetMode="External" /><Relationship Type="http://schemas.openxmlformats.org/officeDocument/2006/relationships/hyperlink" Id="rId72" Target="https://doi.org/10.1186/s12870-024-05754-6" TargetMode="External" /><Relationship Type="http://schemas.openxmlformats.org/officeDocument/2006/relationships/hyperlink" Id="rId108" Target="https://doi.org/10.1371/journal.pbio.3002287" TargetMode="External" /><Relationship Type="http://schemas.openxmlformats.org/officeDocument/2006/relationships/hyperlink" Id="rId116" Target="https://doi.org/10.1371/journal.pone.0103225" TargetMode="External" /><Relationship Type="http://schemas.openxmlformats.org/officeDocument/2006/relationships/hyperlink" Id="rId84"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156" Target="https://doi.org/10.5897/JPBCS2018.0770" TargetMode="External" /><Relationship Type="http://schemas.openxmlformats.org/officeDocument/2006/relationships/hyperlink" Id="rId43" Target="https://doi.org/xxxxxx" TargetMode="External" /><Relationship Type="http://schemas.openxmlformats.org/officeDocument/2006/relationships/hyperlink" Id="rId42" Target="https://doi.org/yyyy" TargetMode="External" /><Relationship Type="http://schemas.openxmlformats.org/officeDocument/2006/relationships/hyperlink" Id="rId41"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12"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2" Target="https://www.caigeproject.org.au/germplasm-evaluation/barley/disease-screening/" TargetMode="External" /><Relationship Type="http://schemas.openxmlformats.org/officeDocument/2006/relationships/hyperlink" Id="rId64" Target="https://www.caigeproject.org.au/germplasm-evaluation/barley/disease-screening/disease-screening-2015/" TargetMode="External" /><Relationship Type="http://schemas.openxmlformats.org/officeDocument/2006/relationships/hyperlink" Id="rId65" Target="https://www.caigeproject.org.au/germplasm-evaluation/barley/disease-screening/disease-screening-2016/" TargetMode="External" /><Relationship Type="http://schemas.openxmlformats.org/officeDocument/2006/relationships/hyperlink" Id="rId66"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63" Target="http://52.64.175.84:8080/gigwa/?module=caigebarley&amp;project=Barley_genotypic_data" TargetMode="External" /><Relationship Type="http://schemas.openxmlformats.org/officeDocument/2006/relationships/hyperlink" Id="rId110" Target="https://CRAN.R-project.org/package=gaston" TargetMode="External" /><Relationship Type="http://schemas.openxmlformats.org/officeDocument/2006/relationships/hyperlink" Id="rId82" Target="https://doi.org/10.1002/eap.1807" TargetMode="External" /><Relationship Type="http://schemas.openxmlformats.org/officeDocument/2006/relationships/hyperlink" Id="rId140" Target="https://doi.org/10.1002/tpg2.20077" TargetMode="External" /><Relationship Type="http://schemas.openxmlformats.org/officeDocument/2006/relationships/hyperlink" Id="rId90" Target="https://doi.org/10.1002/tpg2.20530" TargetMode="External" /><Relationship Type="http://schemas.openxmlformats.org/officeDocument/2006/relationships/hyperlink" Id="rId106" Target="https://doi.org/10.1007/s00122-006-0333-z" TargetMode="External" /><Relationship Type="http://schemas.openxmlformats.org/officeDocument/2006/relationships/hyperlink" Id="rId114" Target="https://doi.org/10.1007/s00122-017-2860-1" TargetMode="External" /><Relationship Type="http://schemas.openxmlformats.org/officeDocument/2006/relationships/hyperlink" Id="rId104" Target="https://doi.org/10.1007/s00122-019-03378-1" TargetMode="External" /><Relationship Type="http://schemas.openxmlformats.org/officeDocument/2006/relationships/hyperlink" Id="rId86" Target="https://doi.org/10.1007/s00299-014-1717-1" TargetMode="External" /><Relationship Type="http://schemas.openxmlformats.org/officeDocument/2006/relationships/hyperlink" Id="rId120" Target="https://doi.org/10.1007/s11222-014-9464-2" TargetMode="External" /><Relationship Type="http://schemas.openxmlformats.org/officeDocument/2006/relationships/hyperlink" Id="rId76" Target="https://doi.org/10.1007/s11295-012-0521-8" TargetMode="External" /><Relationship Type="http://schemas.openxmlformats.org/officeDocument/2006/relationships/hyperlink" Id="rId148" Target="https://doi.org/10.1007/s13593-021-00694-z" TargetMode="External" /><Relationship Type="http://schemas.openxmlformats.org/officeDocument/2006/relationships/hyperlink" Id="rId118" Target="https://doi.org/10.1016/j.spasta.2017.10.003" TargetMode="External" /><Relationship Type="http://schemas.openxmlformats.org/officeDocument/2006/relationships/hyperlink" Id="rId78" Target="https://doi.org/10.1038/hdy.2017.25" TargetMode="External" /><Relationship Type="http://schemas.openxmlformats.org/officeDocument/2006/relationships/hyperlink" Id="rId130" Target="https://doi.org/10.1038/s41437-020-00401-w" TargetMode="External" /><Relationship Type="http://schemas.openxmlformats.org/officeDocument/2006/relationships/hyperlink" Id="rId124" Target="https://doi.org/10.1038/s41467-024-52374-7" TargetMode="External" /><Relationship Type="http://schemas.openxmlformats.org/officeDocument/2006/relationships/hyperlink" Id="rId150" Target="https://doi.org/10.1038/s41559-021-01497-x" TargetMode="External" /><Relationship Type="http://schemas.openxmlformats.org/officeDocument/2006/relationships/hyperlink" Id="rId100" Target="https://doi.org/10.1038/s41559-023-02189-4" TargetMode="External" /><Relationship Type="http://schemas.openxmlformats.org/officeDocument/2006/relationships/hyperlink" Id="rId146" Target="https://doi.org/10.1080/07060669009500997" TargetMode="External" /><Relationship Type="http://schemas.openxmlformats.org/officeDocument/2006/relationships/hyperlink" Id="rId126" Target="https://doi.org/10.1093/g3journal/jkab017" TargetMode="External" /><Relationship Type="http://schemas.openxmlformats.org/officeDocument/2006/relationships/hyperlink" Id="rId94" Target="https://doi.org/10.1093/jxb/ery330" TargetMode="External" /><Relationship Type="http://schemas.openxmlformats.org/officeDocument/2006/relationships/hyperlink" Id="rId128" Target="https://doi.org/10.1093/pcp/pcae092" TargetMode="External" /><Relationship Type="http://schemas.openxmlformats.org/officeDocument/2006/relationships/hyperlink" Id="rId96" Target="https://doi.org/10.1093/plcell/koab077" TargetMode="External" /><Relationship Type="http://schemas.openxmlformats.org/officeDocument/2006/relationships/hyperlink" Id="rId70" Target="https://doi.org/10.1093/sysbio/syz020" TargetMode="External" /><Relationship Type="http://schemas.openxmlformats.org/officeDocument/2006/relationships/hyperlink" Id="rId122" Target="https://doi.org/10.1094/MPMI.2001.14.2.116" TargetMode="External" /><Relationship Type="http://schemas.openxmlformats.org/officeDocument/2006/relationships/hyperlink" Id="rId134" Target="https://doi.org/10.1094/PHYTO-04-14-0106-R" TargetMode="External" /><Relationship Type="http://schemas.openxmlformats.org/officeDocument/2006/relationships/hyperlink" Id="rId68" Target="https://doi.org/10.1094/PHYTO-96-1214" TargetMode="External" /><Relationship Type="http://schemas.openxmlformats.org/officeDocument/2006/relationships/hyperlink" Id="rId152" Target="https://doi.org/10.1098/rsos.230399" TargetMode="External" /><Relationship Type="http://schemas.openxmlformats.org/officeDocument/2006/relationships/hyperlink" Id="rId144" Target="https://doi.org/10.1098/rspb.2011.0239" TargetMode="External" /><Relationship Type="http://schemas.openxmlformats.org/officeDocument/2006/relationships/hyperlink" Id="rId136" Target="https://doi.org/10.1111/1365-2435.13515" TargetMode="External" /><Relationship Type="http://schemas.openxmlformats.org/officeDocument/2006/relationships/hyperlink" Id="rId92" Target="https://doi.org/10.1111/j.1364-3703.2010.00649.x" TargetMode="External" /><Relationship Type="http://schemas.openxmlformats.org/officeDocument/2006/relationships/hyperlink" Id="rId142" Target="https://doi.org/10.1111/j.1365-2664.2012.02173.x" TargetMode="External" /><Relationship Type="http://schemas.openxmlformats.org/officeDocument/2006/relationships/hyperlink" Id="rId158" Target="https://doi.org/10.1111/j.1365-3059.2007.01691.x" TargetMode="External" /><Relationship Type="http://schemas.openxmlformats.org/officeDocument/2006/relationships/hyperlink" Id="rId74" Target="https://doi.org/10.1111/mpp.12896" TargetMode="External" /><Relationship Type="http://schemas.openxmlformats.org/officeDocument/2006/relationships/hyperlink" Id="rId132" Target="https://doi.org/10.1111/nph.12035" TargetMode="External" /><Relationship Type="http://schemas.openxmlformats.org/officeDocument/2006/relationships/hyperlink" Id="rId98" Target="https://doi.org/10.1111/nph.17915" TargetMode="External" /><Relationship Type="http://schemas.openxmlformats.org/officeDocument/2006/relationships/hyperlink" Id="rId138" Target="https://doi.org/10.1126/science.adh8830" TargetMode="External" /><Relationship Type="http://schemas.openxmlformats.org/officeDocument/2006/relationships/hyperlink" Id="rId102" Target="https://doi.org/10.1146/annurev.phyto.40.011402.113723" TargetMode="External" /><Relationship Type="http://schemas.openxmlformats.org/officeDocument/2006/relationships/hyperlink" Id="rId88" Target="https://doi.org/10.1186/1746-4811-9-29" TargetMode="External" /><Relationship Type="http://schemas.openxmlformats.org/officeDocument/2006/relationships/hyperlink" Id="rId80" Target="https://doi.org/10.1186/s12864-016-3229-6" TargetMode="External" /><Relationship Type="http://schemas.openxmlformats.org/officeDocument/2006/relationships/hyperlink" Id="rId154" Target="https://doi.org/10.1186/s12864-023-09303-7" TargetMode="External" /><Relationship Type="http://schemas.openxmlformats.org/officeDocument/2006/relationships/hyperlink" Id="rId72" Target="https://doi.org/10.1186/s12870-024-05754-6" TargetMode="External" /><Relationship Type="http://schemas.openxmlformats.org/officeDocument/2006/relationships/hyperlink" Id="rId108" Target="https://doi.org/10.1371/journal.pbio.3002287" TargetMode="External" /><Relationship Type="http://schemas.openxmlformats.org/officeDocument/2006/relationships/hyperlink" Id="rId116" Target="https://doi.org/10.1371/journal.pone.0103225" TargetMode="External" /><Relationship Type="http://schemas.openxmlformats.org/officeDocument/2006/relationships/hyperlink" Id="rId84"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156" Target="https://doi.org/10.5897/JPBCS2018.0770" TargetMode="External" /><Relationship Type="http://schemas.openxmlformats.org/officeDocument/2006/relationships/hyperlink" Id="rId43" Target="https://doi.org/xxxxxx" TargetMode="External" /><Relationship Type="http://schemas.openxmlformats.org/officeDocument/2006/relationships/hyperlink" Id="rId42" Target="https://doi.org/yyyy" TargetMode="External" /><Relationship Type="http://schemas.openxmlformats.org/officeDocument/2006/relationships/hyperlink" Id="rId41"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12"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2" Target="https://www.caigeproject.org.au/germplasm-evaluation/barley/disease-screening/" TargetMode="External" /><Relationship Type="http://schemas.openxmlformats.org/officeDocument/2006/relationships/hyperlink" Id="rId64" Target="https://www.caigeproject.org.au/germplasm-evaluation/barley/disease-screening/disease-screening-2015/" TargetMode="External" /><Relationship Type="http://schemas.openxmlformats.org/officeDocument/2006/relationships/hyperlink" Id="rId65" Target="https://www.caigeproject.org.au/germplasm-evaluation/barley/disease-screening/disease-screening-2016/" TargetMode="External" /><Relationship Type="http://schemas.openxmlformats.org/officeDocument/2006/relationships/hyperlink" Id="rId66"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 cultivars</dc:title>
  <dc:creator/>
  <cp:keywords/>
  <dcterms:created xsi:type="dcterms:W3CDTF">2025-02-22T08:24:08Z</dcterms:created>
  <dcterms:modified xsi:type="dcterms:W3CDTF">2025-02-22T08:24:08Z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